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17B61" w14:textId="77777777" w:rsidR="00FC1C6B" w:rsidRDefault="00FC1C6B" w:rsidP="00FC1C6B">
      <w:pPr>
        <w:ind w:right="140"/>
        <w:outlineLvl w:val="3"/>
        <w:rPr>
          <w:rFonts w:ascii="Arial" w:hAnsi="Arial" w:cs="Arial"/>
          <w:b/>
          <w:szCs w:val="22"/>
          <w:lang w:eastAsia="fr-FR"/>
        </w:rPr>
      </w:pPr>
      <w:r w:rsidRPr="00FC1C6B">
        <w:rPr>
          <w:rFonts w:ascii="Arial" w:hAnsi="Arial" w:cs="Arial"/>
          <w:noProof/>
          <w:sz w:val="24"/>
          <w:szCs w:val="24"/>
          <w:lang w:val="fr-FR" w:eastAsia="fr-FR"/>
        </w:rPr>
        <w:drawing>
          <wp:anchor distT="0" distB="0" distL="114300" distR="114300" simplePos="0" relativeHeight="251659264" behindDoc="0" locked="0" layoutInCell="1" allowOverlap="1" wp14:anchorId="3A71DAB9" wp14:editId="0942F927">
            <wp:simplePos x="0" y="0"/>
            <wp:positionH relativeFrom="column">
              <wp:posOffset>2108200</wp:posOffset>
            </wp:positionH>
            <wp:positionV relativeFrom="paragraph">
              <wp:posOffset>-368300</wp:posOffset>
            </wp:positionV>
            <wp:extent cx="1079500" cy="1028700"/>
            <wp:effectExtent l="0" t="0" r="0" b="0"/>
            <wp:wrapNone/>
            <wp:docPr id="1" name="Image 1" descr="Armoirie - c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Armoirie - copi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079500" cy="1028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370D6F" w14:textId="77777777" w:rsidR="00FC1C6B" w:rsidRDefault="00FC1C6B" w:rsidP="00FC1C6B">
      <w:pPr>
        <w:ind w:right="140"/>
        <w:jc w:val="center"/>
        <w:outlineLvl w:val="3"/>
        <w:rPr>
          <w:rFonts w:ascii="Arial" w:hAnsi="Arial" w:cs="Arial"/>
          <w:b/>
          <w:szCs w:val="22"/>
          <w:lang w:eastAsia="fr-FR"/>
        </w:rPr>
      </w:pPr>
    </w:p>
    <w:p w14:paraId="7860C96B" w14:textId="77777777" w:rsidR="00FC1C6B" w:rsidRDefault="00FC1C6B" w:rsidP="00FC1C6B">
      <w:pPr>
        <w:tabs>
          <w:tab w:val="center" w:pos="4680"/>
        </w:tabs>
        <w:spacing w:after="120"/>
        <w:ind w:right="142"/>
        <w:rPr>
          <w:rFonts w:ascii="Arial" w:hAnsi="Arial" w:cs="Arial"/>
          <w:b/>
          <w:szCs w:val="22"/>
          <w:lang w:eastAsia="fr-FR"/>
        </w:rPr>
      </w:pPr>
    </w:p>
    <w:p w14:paraId="30394841" w14:textId="77777777" w:rsidR="00FC1C6B" w:rsidRPr="00FC1C6B" w:rsidRDefault="00FC1C6B" w:rsidP="00FC1C6B">
      <w:pPr>
        <w:tabs>
          <w:tab w:val="center" w:pos="4680"/>
        </w:tabs>
        <w:spacing w:after="120"/>
        <w:ind w:right="142"/>
        <w:rPr>
          <w:rFonts w:ascii="Arial" w:hAnsi="Arial" w:cs="Arial"/>
          <w:b/>
          <w:bCs/>
          <w:caps/>
          <w:szCs w:val="22"/>
          <w:lang w:val="fr-FR"/>
        </w:rPr>
      </w:pPr>
    </w:p>
    <w:p w14:paraId="341BF426" w14:textId="77777777" w:rsidR="00FC1C6B" w:rsidRPr="00FC1C6B" w:rsidRDefault="00FC1C6B" w:rsidP="00FC1C6B">
      <w:pPr>
        <w:tabs>
          <w:tab w:val="center" w:pos="4680"/>
        </w:tabs>
        <w:spacing w:after="120"/>
        <w:ind w:right="142"/>
        <w:jc w:val="center"/>
        <w:rPr>
          <w:rFonts w:ascii="Arial" w:hAnsi="Arial" w:cs="Arial"/>
          <w:b/>
          <w:bCs/>
          <w:caps/>
          <w:szCs w:val="22"/>
          <w:lang w:val="fr-FR"/>
        </w:rPr>
      </w:pPr>
      <w:r w:rsidRPr="00FC1C6B">
        <w:rPr>
          <w:rFonts w:ascii="Arial" w:hAnsi="Arial" w:cs="Arial"/>
          <w:b/>
          <w:bCs/>
          <w:caps/>
          <w:szCs w:val="22"/>
          <w:lang w:val="fr-FR"/>
        </w:rPr>
        <w:t>Ministère deS MINES ET DE LA GEOLOGIE (MMG)</w:t>
      </w:r>
    </w:p>
    <w:p w14:paraId="2F722D66" w14:textId="77777777" w:rsidR="00FC1C6B" w:rsidRPr="00FC1C6B" w:rsidRDefault="00FC1C6B" w:rsidP="00FC1C6B">
      <w:pPr>
        <w:tabs>
          <w:tab w:val="center" w:pos="4680"/>
        </w:tabs>
        <w:ind w:right="140"/>
        <w:jc w:val="center"/>
        <w:rPr>
          <w:rFonts w:ascii="Arial" w:hAnsi="Arial" w:cs="Arial"/>
          <w:b/>
          <w:bCs/>
          <w:caps/>
          <w:szCs w:val="22"/>
          <w:lang w:val="fr-FR"/>
        </w:rPr>
      </w:pPr>
      <w:r w:rsidRPr="00FC1C6B">
        <w:rPr>
          <w:rFonts w:ascii="Arial" w:hAnsi="Arial" w:cs="Arial"/>
          <w:b/>
          <w:bCs/>
          <w:caps/>
          <w:szCs w:val="22"/>
          <w:lang w:val="fr-FR"/>
        </w:rPr>
        <w:t>MINISTERE DE L’ENVIRONNEMENT ET DU DEVELOPPEMENT DURABLE (MEDD)</w:t>
      </w:r>
    </w:p>
    <w:p w14:paraId="4A44627E" w14:textId="77777777" w:rsidR="00FC1C6B" w:rsidRPr="00FC1C6B" w:rsidRDefault="00FC1C6B" w:rsidP="00FC1C6B">
      <w:pPr>
        <w:tabs>
          <w:tab w:val="center" w:pos="4680"/>
        </w:tabs>
        <w:ind w:right="140"/>
        <w:jc w:val="center"/>
        <w:rPr>
          <w:rFonts w:ascii="Arial" w:hAnsi="Arial" w:cs="Arial"/>
          <w:b/>
          <w:bCs/>
          <w:caps/>
          <w:szCs w:val="22"/>
          <w:lang w:val="fr-FR"/>
        </w:rPr>
      </w:pPr>
    </w:p>
    <w:p w14:paraId="3C835DB5" w14:textId="77777777" w:rsidR="00FC1C6B" w:rsidRPr="00FC1C6B" w:rsidRDefault="00FC1C6B" w:rsidP="00FC1C6B">
      <w:pPr>
        <w:tabs>
          <w:tab w:val="center" w:pos="4680"/>
        </w:tabs>
        <w:spacing w:after="120"/>
        <w:ind w:right="142"/>
        <w:jc w:val="center"/>
        <w:rPr>
          <w:rFonts w:ascii="Arial" w:hAnsi="Arial" w:cs="Arial"/>
          <w:b/>
          <w:bCs/>
          <w:caps/>
          <w:szCs w:val="22"/>
          <w:lang w:val="fr-FR"/>
        </w:rPr>
      </w:pPr>
      <w:r w:rsidRPr="00FC1C6B">
        <w:rPr>
          <w:rFonts w:ascii="Arial" w:hAnsi="Arial" w:cs="Arial"/>
          <w:b/>
          <w:bCs/>
          <w:caps/>
          <w:szCs w:val="22"/>
          <w:lang w:val="fr-FR"/>
        </w:rPr>
        <w:t xml:space="preserve">PROJET DE GESTION DES RESSOURCES NATURELLES, MINIERES </w:t>
      </w:r>
    </w:p>
    <w:p w14:paraId="16AEABBE" w14:textId="77777777" w:rsidR="00FC1C6B" w:rsidRPr="00FC1C6B" w:rsidRDefault="00FC1C6B" w:rsidP="00FC1C6B">
      <w:pPr>
        <w:tabs>
          <w:tab w:val="center" w:pos="4680"/>
        </w:tabs>
        <w:ind w:right="140"/>
        <w:jc w:val="center"/>
        <w:rPr>
          <w:rFonts w:ascii="Arial" w:hAnsi="Arial" w:cs="Arial"/>
          <w:b/>
          <w:bCs/>
          <w:caps/>
          <w:szCs w:val="22"/>
          <w:lang w:val="fr-FR"/>
        </w:rPr>
      </w:pPr>
      <w:r w:rsidRPr="00FC1C6B">
        <w:rPr>
          <w:rFonts w:ascii="Arial" w:hAnsi="Arial" w:cs="Arial"/>
          <w:b/>
          <w:bCs/>
          <w:caps/>
          <w:szCs w:val="22"/>
          <w:lang w:val="fr-FR"/>
        </w:rPr>
        <w:t>ET DE L’ENVIRONNEMENT (PGRNME)</w:t>
      </w:r>
    </w:p>
    <w:p w14:paraId="45FF5A56" w14:textId="77777777" w:rsidR="00FC1C6B" w:rsidRPr="00FC1C6B" w:rsidRDefault="00FC1C6B" w:rsidP="00FC1C6B">
      <w:pPr>
        <w:tabs>
          <w:tab w:val="center" w:pos="4680"/>
        </w:tabs>
        <w:ind w:right="140"/>
        <w:jc w:val="center"/>
        <w:rPr>
          <w:rFonts w:ascii="Arial" w:hAnsi="Arial" w:cs="Arial"/>
          <w:b/>
          <w:bCs/>
          <w:caps/>
          <w:szCs w:val="22"/>
          <w:lang w:val="fr-FR"/>
        </w:rPr>
      </w:pPr>
    </w:p>
    <w:p w14:paraId="70396590" w14:textId="77777777" w:rsidR="00FC1C6B" w:rsidRPr="00FC1C6B" w:rsidRDefault="00FC1C6B" w:rsidP="00FC1C6B">
      <w:pPr>
        <w:tabs>
          <w:tab w:val="left" w:pos="7530"/>
        </w:tabs>
        <w:jc w:val="center"/>
        <w:rPr>
          <w:rFonts w:ascii="Arial" w:eastAsia="Calibri" w:hAnsi="Arial" w:cs="Arial"/>
          <w:b/>
          <w:szCs w:val="22"/>
          <w:lang w:val="fr-FR"/>
        </w:rPr>
      </w:pPr>
      <w:r w:rsidRPr="00FC1C6B">
        <w:rPr>
          <w:rFonts w:ascii="Arial" w:hAnsi="Arial" w:cs="Arial"/>
          <w:b/>
          <w:bCs/>
          <w:caps/>
          <w:szCs w:val="22"/>
          <w:lang w:val="fr-FR"/>
        </w:rPr>
        <w:t xml:space="preserve"> </w:t>
      </w:r>
      <w:r w:rsidRPr="00FC1C6B">
        <w:rPr>
          <w:rFonts w:ascii="Arial" w:eastAsia="Calibri" w:hAnsi="Arial" w:cs="Arial"/>
          <w:b/>
          <w:szCs w:val="22"/>
          <w:lang w:val="fr-FR"/>
        </w:rPr>
        <w:t>CREDIT IDA N° 6885 – GN ET DON IDA N° 8190 -GN</w:t>
      </w:r>
    </w:p>
    <w:p w14:paraId="64FA3AB9" w14:textId="77777777" w:rsidR="00FC1C6B" w:rsidRPr="00FC1C6B" w:rsidRDefault="00FC1C6B" w:rsidP="00FC1C6B">
      <w:pPr>
        <w:tabs>
          <w:tab w:val="left" w:pos="7530"/>
        </w:tabs>
        <w:spacing w:after="240"/>
        <w:jc w:val="center"/>
        <w:rPr>
          <w:rFonts w:ascii="Arial" w:eastAsia="Calibri" w:hAnsi="Arial" w:cs="Arial"/>
          <w:b/>
          <w:szCs w:val="22"/>
          <w:u w:val="single"/>
          <w:lang w:val="fr-FR"/>
        </w:rPr>
      </w:pPr>
    </w:p>
    <w:p w14:paraId="6EABBD52" w14:textId="77777777" w:rsidR="00FC1C6B" w:rsidRPr="00FC1C6B" w:rsidRDefault="00FC1C6B" w:rsidP="00FC1C6B">
      <w:pPr>
        <w:tabs>
          <w:tab w:val="left" w:pos="7530"/>
        </w:tabs>
        <w:spacing w:after="240"/>
        <w:jc w:val="center"/>
        <w:rPr>
          <w:rFonts w:ascii="Arial" w:eastAsia="Calibri" w:hAnsi="Arial" w:cs="Arial"/>
          <w:b/>
          <w:szCs w:val="22"/>
          <w:u w:val="single"/>
          <w:lang w:val="fr-FR"/>
        </w:rPr>
      </w:pPr>
      <w:r w:rsidRPr="00FC1C6B">
        <w:rPr>
          <w:rFonts w:ascii="Arial" w:eastAsia="Calibri" w:hAnsi="Arial" w:cs="Arial"/>
          <w:b/>
          <w:szCs w:val="22"/>
          <w:u w:val="single"/>
          <w:lang w:val="fr-FR"/>
        </w:rPr>
        <w:t xml:space="preserve">SOLLICITATION DE MANIFESTATION D’INTERET </w:t>
      </w:r>
    </w:p>
    <w:p w14:paraId="4D8AE521" w14:textId="77777777" w:rsidR="00FC1C6B" w:rsidRPr="00FC1C6B" w:rsidRDefault="00FC1C6B" w:rsidP="00FC1C6B">
      <w:pPr>
        <w:jc w:val="center"/>
        <w:rPr>
          <w:rFonts w:ascii="Arial" w:hAnsi="Arial" w:cs="Arial"/>
          <w:b/>
          <w:sz w:val="13"/>
          <w:szCs w:val="13"/>
          <w:lang w:val="fr-FR"/>
        </w:rPr>
      </w:pPr>
    </w:p>
    <w:p w14:paraId="648503DE" w14:textId="3882D532" w:rsidR="00FC1C6B" w:rsidRPr="00FC1C6B" w:rsidRDefault="00862028" w:rsidP="00FC1C6B">
      <w:pPr>
        <w:tabs>
          <w:tab w:val="left" w:pos="7530"/>
        </w:tabs>
        <w:ind w:right="-666"/>
        <w:jc w:val="center"/>
        <w:rPr>
          <w:rFonts w:ascii="Arial" w:hAnsi="Arial" w:cs="Arial"/>
          <w:b/>
          <w:szCs w:val="22"/>
          <w:lang w:val="fr-FR" w:eastAsia="fr-FR"/>
        </w:rPr>
      </w:pPr>
      <w:r w:rsidRPr="00862028">
        <w:rPr>
          <w:rFonts w:ascii="Arial" w:hAnsi="Arial" w:cs="Arial"/>
          <w:b/>
          <w:szCs w:val="22"/>
          <w:lang w:val="fr-FR" w:eastAsia="fr-FR"/>
        </w:rPr>
        <w:t>CONSEIL TECHNIQUE EN DEVELOPPEMENT MINIER</w:t>
      </w:r>
      <w:r w:rsidRPr="00D3691F">
        <w:rPr>
          <w:rFonts w:ascii="Times New Roman" w:hAnsi="Times New Roman"/>
          <w:b/>
          <w:sz w:val="24"/>
          <w:szCs w:val="24"/>
          <w:lang w:val="fr-FR"/>
        </w:rPr>
        <w:t xml:space="preserve"> </w:t>
      </w:r>
      <w:r w:rsidR="00FC1C6B" w:rsidRPr="00FC1C6B">
        <w:rPr>
          <w:rFonts w:ascii="Arial" w:hAnsi="Arial" w:cs="Arial"/>
          <w:b/>
          <w:szCs w:val="22"/>
          <w:lang w:val="fr-FR" w:eastAsia="fr-FR"/>
        </w:rPr>
        <w:t xml:space="preserve">AUPRES DU MINISTRERE DES MINES ET DE LA GEOLOGIE </w:t>
      </w:r>
    </w:p>
    <w:p w14:paraId="5DF25688" w14:textId="77777777" w:rsidR="00FC1C6B" w:rsidRPr="00FC1C6B" w:rsidRDefault="00FC1C6B" w:rsidP="00FC1C6B">
      <w:pPr>
        <w:tabs>
          <w:tab w:val="left" w:pos="7530"/>
        </w:tabs>
        <w:ind w:right="-666"/>
        <w:jc w:val="center"/>
        <w:rPr>
          <w:rFonts w:ascii="Arial" w:eastAsia="Calibri" w:hAnsi="Arial" w:cs="Arial"/>
          <w:b/>
          <w:szCs w:val="22"/>
          <w:lang w:val="fr-FR"/>
        </w:rPr>
      </w:pPr>
    </w:p>
    <w:p w14:paraId="34EE750D" w14:textId="5C00B1F5" w:rsidR="00FC1C6B" w:rsidRPr="00FC1C6B" w:rsidRDefault="00FC1C6B" w:rsidP="00FC1C6B">
      <w:pPr>
        <w:pBdr>
          <w:top w:val="single" w:sz="4" w:space="1" w:color="auto"/>
          <w:left w:val="single" w:sz="4" w:space="4" w:color="auto"/>
          <w:bottom w:val="single" w:sz="4" w:space="1" w:color="auto"/>
          <w:right w:val="single" w:sz="4" w:space="4" w:color="auto"/>
        </w:pBdr>
        <w:tabs>
          <w:tab w:val="center" w:pos="4680"/>
        </w:tabs>
        <w:ind w:left="567" w:right="567"/>
        <w:jc w:val="center"/>
        <w:rPr>
          <w:rFonts w:ascii="Arial" w:hAnsi="Arial" w:cs="Arial"/>
          <w:b/>
          <w:bCs/>
          <w:caps/>
          <w:szCs w:val="22"/>
          <w:lang w:val="fr-FR"/>
        </w:rPr>
      </w:pPr>
      <w:r w:rsidRPr="00FC1C6B">
        <w:rPr>
          <w:rFonts w:ascii="Arial" w:hAnsi="Arial" w:cs="Arial"/>
          <w:b/>
          <w:bCs/>
          <w:caps/>
          <w:szCs w:val="22"/>
          <w:lang w:val="fr-FR"/>
        </w:rPr>
        <w:t>SMI N°00</w:t>
      </w:r>
      <w:r w:rsidR="00CD400A">
        <w:rPr>
          <w:rFonts w:ascii="Arial" w:hAnsi="Arial" w:cs="Arial"/>
          <w:b/>
          <w:bCs/>
          <w:caps/>
          <w:szCs w:val="22"/>
          <w:lang w:val="fr-FR"/>
        </w:rPr>
        <w:t>2</w:t>
      </w:r>
      <w:r w:rsidRPr="00FC1C6B">
        <w:rPr>
          <w:rFonts w:ascii="Arial" w:hAnsi="Arial" w:cs="Arial"/>
          <w:b/>
          <w:bCs/>
          <w:caps/>
          <w:szCs w:val="22"/>
          <w:lang w:val="fr-FR"/>
        </w:rPr>
        <w:t>/PGRNME/C/202</w:t>
      </w:r>
      <w:r w:rsidR="00CD400A">
        <w:rPr>
          <w:rFonts w:ascii="Arial" w:hAnsi="Arial" w:cs="Arial"/>
          <w:b/>
          <w:bCs/>
          <w:caps/>
          <w:szCs w:val="22"/>
          <w:lang w:val="fr-FR"/>
        </w:rPr>
        <w:t>6</w:t>
      </w:r>
    </w:p>
    <w:p w14:paraId="3B0D3ECD" w14:textId="77777777" w:rsidR="00FC1C6B" w:rsidRPr="00FC1C6B" w:rsidRDefault="00FC1C6B" w:rsidP="00FC1C6B">
      <w:pPr>
        <w:suppressAutoHyphens/>
        <w:rPr>
          <w:rFonts w:ascii="Arial" w:hAnsi="Arial" w:cs="Arial"/>
          <w:spacing w:val="-2"/>
          <w:szCs w:val="22"/>
          <w:lang w:val="fr-FR"/>
        </w:rPr>
      </w:pPr>
    </w:p>
    <w:p w14:paraId="062F1877" w14:textId="7F418C40" w:rsidR="00FC1C6B" w:rsidRPr="00FC1C6B" w:rsidRDefault="00FC1C6B" w:rsidP="00FC1C6B">
      <w:pPr>
        <w:tabs>
          <w:tab w:val="center" w:pos="4680"/>
        </w:tabs>
        <w:ind w:right="-7"/>
        <w:jc w:val="center"/>
        <w:rPr>
          <w:rFonts w:ascii="Arial" w:hAnsi="Arial" w:cs="Arial"/>
          <w:b/>
          <w:bCs/>
          <w:caps/>
          <w:szCs w:val="22"/>
          <w:lang w:val="fr-FR"/>
        </w:rPr>
      </w:pPr>
      <w:r w:rsidRPr="00FC1C6B">
        <w:rPr>
          <w:rFonts w:ascii="Arial" w:hAnsi="Arial" w:cs="Arial"/>
          <w:b/>
          <w:bCs/>
          <w:caps/>
          <w:szCs w:val="22"/>
          <w:lang w:val="fr-FR"/>
        </w:rPr>
        <w:t xml:space="preserve">       </w:t>
      </w:r>
      <w:r w:rsidRPr="00FC1C6B">
        <w:rPr>
          <w:rFonts w:ascii="Arial" w:hAnsi="Arial" w:cs="Arial"/>
          <w:b/>
          <w:bCs/>
          <w:szCs w:val="22"/>
          <w:lang w:val="fr-FR"/>
        </w:rPr>
        <w:t xml:space="preserve">Date de </w:t>
      </w:r>
      <w:r w:rsidR="000A2793" w:rsidRPr="00FC1C6B">
        <w:rPr>
          <w:rFonts w:ascii="Arial" w:hAnsi="Arial" w:cs="Arial"/>
          <w:b/>
          <w:bCs/>
          <w:szCs w:val="22"/>
          <w:lang w:val="fr-FR"/>
        </w:rPr>
        <w:t>fin</w:t>
      </w:r>
      <w:r w:rsidR="000A2793" w:rsidRPr="00FC1C6B">
        <w:rPr>
          <w:rFonts w:ascii="Arial" w:hAnsi="Arial" w:cs="Arial"/>
          <w:b/>
          <w:bCs/>
          <w:caps/>
          <w:szCs w:val="22"/>
          <w:lang w:val="fr-FR"/>
        </w:rPr>
        <w:t xml:space="preserve"> :</w:t>
      </w:r>
      <w:r w:rsidRPr="00FC1C6B">
        <w:rPr>
          <w:rFonts w:ascii="Arial" w:hAnsi="Arial" w:cs="Arial"/>
          <w:b/>
          <w:bCs/>
          <w:caps/>
          <w:szCs w:val="22"/>
          <w:lang w:val="fr-FR"/>
        </w:rPr>
        <w:t xml:space="preserve"> </w:t>
      </w:r>
      <w:r w:rsidR="008459E6">
        <w:rPr>
          <w:rFonts w:ascii="Arial" w:hAnsi="Arial" w:cs="Arial"/>
          <w:b/>
          <w:bCs/>
          <w:caps/>
          <w:szCs w:val="22"/>
          <w:lang w:val="fr-FR"/>
        </w:rPr>
        <w:t xml:space="preserve"> </w:t>
      </w:r>
      <w:r w:rsidR="00CD400A">
        <w:rPr>
          <w:rFonts w:ascii="Arial" w:hAnsi="Arial" w:cs="Arial"/>
          <w:b/>
          <w:bCs/>
          <w:caps/>
          <w:szCs w:val="22"/>
          <w:lang w:val="fr-FR"/>
        </w:rPr>
        <w:t>3</w:t>
      </w:r>
      <w:r w:rsidR="00A7230E">
        <w:rPr>
          <w:rFonts w:ascii="Arial" w:hAnsi="Arial" w:cs="Arial"/>
          <w:b/>
          <w:bCs/>
          <w:caps/>
          <w:szCs w:val="22"/>
          <w:lang w:val="fr-FR"/>
        </w:rPr>
        <w:t>0</w:t>
      </w:r>
      <w:r w:rsidR="008459E6">
        <w:rPr>
          <w:rFonts w:ascii="Arial" w:hAnsi="Arial" w:cs="Arial"/>
          <w:b/>
          <w:bCs/>
          <w:caps/>
          <w:szCs w:val="22"/>
          <w:lang w:val="fr-FR"/>
        </w:rPr>
        <w:t xml:space="preserve"> </w:t>
      </w:r>
      <w:r w:rsidR="008459E6">
        <w:rPr>
          <w:rFonts w:ascii="Arial" w:hAnsi="Arial" w:cs="Arial"/>
          <w:b/>
          <w:bCs/>
          <w:szCs w:val="22"/>
          <w:lang w:val="fr-FR"/>
        </w:rPr>
        <w:t xml:space="preserve">Janvier </w:t>
      </w:r>
      <w:r w:rsidR="008459E6">
        <w:rPr>
          <w:rFonts w:ascii="Arial" w:hAnsi="Arial" w:cs="Arial"/>
          <w:b/>
          <w:bCs/>
          <w:caps/>
          <w:szCs w:val="22"/>
          <w:lang w:val="fr-FR"/>
        </w:rPr>
        <w:t>2026</w:t>
      </w:r>
    </w:p>
    <w:p w14:paraId="57CA4679" w14:textId="77777777" w:rsidR="00FC1C6B" w:rsidRPr="00CD400A" w:rsidRDefault="00FC1C6B" w:rsidP="00FC1C6B">
      <w:pPr>
        <w:suppressAutoHyphens/>
        <w:rPr>
          <w:rFonts w:ascii="Arial" w:hAnsi="Arial" w:cs="Arial"/>
          <w:spacing w:val="-2"/>
          <w:szCs w:val="22"/>
          <w:lang w:val="fr-FR"/>
        </w:rPr>
      </w:pPr>
    </w:p>
    <w:p w14:paraId="4FDD5A93" w14:textId="7A4B2D63" w:rsidR="008459E6" w:rsidRDefault="008459E6" w:rsidP="008459E6">
      <w:pPr>
        <w:jc w:val="both"/>
        <w:rPr>
          <w:rFonts w:ascii="Arial" w:hAnsi="Arial" w:cs="Arial"/>
          <w:bCs/>
          <w:szCs w:val="22"/>
          <w:lang w:val="fr-FR"/>
        </w:rPr>
      </w:pPr>
      <w:r w:rsidRPr="00CD400A">
        <w:rPr>
          <w:rFonts w:ascii="Arial" w:hAnsi="Arial" w:cs="Arial"/>
          <w:szCs w:val="22"/>
          <w:lang w:val="fr-BE"/>
        </w:rPr>
        <w:t>Le Gouvernement de la République de Guinée</w:t>
      </w:r>
      <w:r w:rsidRPr="00CD400A">
        <w:rPr>
          <w:rFonts w:ascii="Arial" w:hAnsi="Arial" w:cs="Arial"/>
          <w:i/>
          <w:szCs w:val="22"/>
          <w:lang w:val="fr-FR"/>
        </w:rPr>
        <w:t xml:space="preserve"> </w:t>
      </w:r>
      <w:r w:rsidRPr="00CD400A">
        <w:rPr>
          <w:rFonts w:ascii="Arial" w:hAnsi="Arial" w:cs="Arial"/>
          <w:iCs/>
          <w:szCs w:val="22"/>
          <w:lang w:val="fr-FR"/>
        </w:rPr>
        <w:t>a reçu un</w:t>
      </w:r>
      <w:r w:rsidRPr="00CD400A">
        <w:rPr>
          <w:rFonts w:ascii="Arial" w:hAnsi="Arial" w:cs="Arial"/>
          <w:szCs w:val="22"/>
          <w:lang w:val="fr-FR"/>
        </w:rPr>
        <w:t xml:space="preserve"> financement</w:t>
      </w:r>
      <w:r w:rsidRPr="00CD400A">
        <w:rPr>
          <w:rFonts w:ascii="Arial" w:hAnsi="Arial" w:cs="Arial"/>
          <w:i/>
          <w:szCs w:val="22"/>
          <w:lang w:val="fr-FR"/>
        </w:rPr>
        <w:t xml:space="preserve"> </w:t>
      </w:r>
      <w:r w:rsidRPr="00CD400A">
        <w:rPr>
          <w:rFonts w:ascii="Arial" w:hAnsi="Arial" w:cs="Arial"/>
          <w:iCs/>
          <w:szCs w:val="22"/>
          <w:lang w:val="fr-FR"/>
        </w:rPr>
        <w:t>de la Ban</w:t>
      </w:r>
      <w:r w:rsidRPr="00CD400A">
        <w:rPr>
          <w:rFonts w:ascii="Arial" w:hAnsi="Arial" w:cs="Arial"/>
          <w:szCs w:val="22"/>
          <w:lang w:val="fr-FR"/>
        </w:rPr>
        <w:t xml:space="preserve">que mondiale pour couvrir les coûts du </w:t>
      </w:r>
      <w:r w:rsidRPr="00CD400A">
        <w:rPr>
          <w:rFonts w:ascii="Arial" w:hAnsi="Arial" w:cs="Arial"/>
          <w:szCs w:val="22"/>
          <w:lang w:val="fr-BE"/>
        </w:rPr>
        <w:t>Projet de Gestion des Ressources Naturelles, Minières et de l’Environnement (PGRNME)</w:t>
      </w:r>
      <w:r w:rsidRPr="00CD400A">
        <w:rPr>
          <w:rFonts w:ascii="Arial" w:hAnsi="Arial" w:cs="Arial"/>
          <w:szCs w:val="22"/>
          <w:lang w:val="fr-FR"/>
        </w:rPr>
        <w:t>,</w:t>
      </w:r>
      <w:r w:rsidRPr="00CD400A">
        <w:rPr>
          <w:rFonts w:ascii="Arial" w:hAnsi="Arial" w:cs="Arial"/>
          <w:i/>
          <w:szCs w:val="22"/>
          <w:lang w:val="fr-FR"/>
        </w:rPr>
        <w:t xml:space="preserve"> </w:t>
      </w:r>
      <w:r w:rsidRPr="00CD400A">
        <w:rPr>
          <w:rFonts w:ascii="Arial" w:hAnsi="Arial" w:cs="Arial"/>
          <w:szCs w:val="22"/>
          <w:lang w:val="fr-FR"/>
        </w:rPr>
        <w:t xml:space="preserve">et a l’intention d’utiliser une partie du montant de ce </w:t>
      </w:r>
      <w:r w:rsidRPr="00CD400A">
        <w:rPr>
          <w:rFonts w:ascii="Arial" w:eastAsia="Calibri" w:hAnsi="Arial" w:cs="Arial"/>
          <w:b/>
          <w:szCs w:val="22"/>
          <w:lang w:val="fr-FR"/>
        </w:rPr>
        <w:t>CREDIT IDA N° 6885 – GN et du DON IDA N° 819 -GN</w:t>
      </w:r>
      <w:r w:rsidRPr="00CD400A">
        <w:rPr>
          <w:rFonts w:ascii="Arial" w:hAnsi="Arial" w:cs="Arial"/>
          <w:szCs w:val="22"/>
          <w:lang w:val="fr-FR"/>
        </w:rPr>
        <w:t xml:space="preserve"> pour effectuer des paiements au titre de services de consultants pour : </w:t>
      </w:r>
      <w:r w:rsidRPr="00CD400A">
        <w:rPr>
          <w:rFonts w:ascii="Arial" w:hAnsi="Arial" w:cs="Arial"/>
          <w:b/>
          <w:szCs w:val="22"/>
          <w:lang w:val="fr-FR"/>
        </w:rPr>
        <w:t>l’Appui-Conseil Technique en Développement Minier auprès du Ministère des Mines et de la Géologie</w:t>
      </w:r>
      <w:r w:rsidRPr="00CD400A">
        <w:rPr>
          <w:rFonts w:ascii="Arial" w:hAnsi="Arial" w:cs="Arial"/>
          <w:bCs/>
          <w:szCs w:val="22"/>
          <w:lang w:val="fr-FR"/>
        </w:rPr>
        <w:t>.</w:t>
      </w:r>
    </w:p>
    <w:p w14:paraId="02932F61" w14:textId="77777777" w:rsidR="0050457E" w:rsidRPr="00CD400A" w:rsidRDefault="0050457E" w:rsidP="008459E6">
      <w:pPr>
        <w:jc w:val="both"/>
        <w:rPr>
          <w:rFonts w:ascii="Arial" w:hAnsi="Arial" w:cs="Arial"/>
          <w:b/>
          <w:bCs/>
          <w:szCs w:val="22"/>
          <w:lang w:val="fr-FR"/>
        </w:rPr>
      </w:pPr>
    </w:p>
    <w:p w14:paraId="50557287" w14:textId="5CD5482A" w:rsidR="00FC1C6B" w:rsidRPr="00CD400A" w:rsidRDefault="00FC1C6B" w:rsidP="00FC1C6B">
      <w:pPr>
        <w:pStyle w:val="Paragraphedeliste"/>
        <w:jc w:val="both"/>
        <w:rPr>
          <w:rFonts w:ascii="Arial" w:eastAsiaTheme="minorHAnsi" w:hAnsi="Arial" w:cs="Arial"/>
          <w:b/>
          <w:szCs w:val="22"/>
          <w:lang w:val="fr-FR"/>
        </w:rPr>
      </w:pPr>
      <w:r w:rsidRPr="00CD400A">
        <w:rPr>
          <w:rFonts w:ascii="Arial" w:eastAsiaTheme="minorHAnsi" w:hAnsi="Arial" w:cs="Arial"/>
          <w:b/>
          <w:szCs w:val="22"/>
          <w:lang w:val="fr-FR"/>
        </w:rPr>
        <w:t>Objectif de la Mission</w:t>
      </w:r>
    </w:p>
    <w:p w14:paraId="3EBC6B04" w14:textId="77777777" w:rsidR="00FC1C6B" w:rsidRPr="00CD400A" w:rsidRDefault="00FC1C6B" w:rsidP="00FC1C6B">
      <w:pPr>
        <w:pStyle w:val="Paragraphedeliste"/>
        <w:jc w:val="both"/>
        <w:rPr>
          <w:rFonts w:ascii="Arial" w:eastAsiaTheme="minorHAnsi" w:hAnsi="Arial" w:cs="Arial"/>
          <w:b/>
          <w:szCs w:val="22"/>
          <w:lang w:val="fr-FR"/>
        </w:rPr>
      </w:pPr>
    </w:p>
    <w:p w14:paraId="61E6E85D" w14:textId="10181D15" w:rsidR="00FC1C6B" w:rsidRPr="00CD400A" w:rsidRDefault="00FC1C6B" w:rsidP="000A2793">
      <w:pPr>
        <w:jc w:val="both"/>
        <w:rPr>
          <w:rFonts w:ascii="Arial" w:hAnsi="Arial" w:cs="Arial"/>
          <w:bCs/>
          <w:szCs w:val="22"/>
          <w:lang w:val="fr-FR"/>
        </w:rPr>
      </w:pPr>
      <w:r w:rsidRPr="00CD400A">
        <w:rPr>
          <w:rFonts w:ascii="Arial" w:eastAsiaTheme="minorHAnsi" w:hAnsi="Arial" w:cs="Arial"/>
          <w:bCs/>
          <w:szCs w:val="22"/>
          <w:lang w:val="fr-FR"/>
        </w:rPr>
        <w:t>L’objectif principal de la mission du Cabinet est de fournir un appui et des conseils stratégique</w:t>
      </w:r>
      <w:r w:rsidR="008459E6" w:rsidRPr="00CD400A">
        <w:rPr>
          <w:rFonts w:ascii="Arial" w:eastAsiaTheme="minorHAnsi" w:hAnsi="Arial" w:cs="Arial"/>
          <w:bCs/>
          <w:szCs w:val="22"/>
          <w:lang w:val="fr-FR"/>
        </w:rPr>
        <w:t>s</w:t>
      </w:r>
      <w:r w:rsidRPr="00CD400A">
        <w:rPr>
          <w:rFonts w:ascii="Arial" w:eastAsiaTheme="minorHAnsi" w:hAnsi="Arial" w:cs="Arial"/>
          <w:bCs/>
          <w:szCs w:val="22"/>
          <w:lang w:val="fr-FR"/>
        </w:rPr>
        <w:t xml:space="preserve"> sur le      plan technique au Gouvernement pour :</w:t>
      </w:r>
    </w:p>
    <w:p w14:paraId="726D35D0" w14:textId="77777777" w:rsidR="00FC1C6B" w:rsidRPr="00CD400A" w:rsidRDefault="00FC1C6B" w:rsidP="00FC1C6B">
      <w:pPr>
        <w:pStyle w:val="Paragraphedeliste"/>
        <w:ind w:left="284"/>
        <w:jc w:val="both"/>
        <w:rPr>
          <w:rFonts w:ascii="Arial" w:eastAsiaTheme="minorHAnsi" w:hAnsi="Arial" w:cs="Arial"/>
          <w:bCs/>
          <w:szCs w:val="22"/>
          <w:lang w:val="fr-FR"/>
        </w:rPr>
      </w:pPr>
    </w:p>
    <w:p w14:paraId="62B65A55" w14:textId="2B63E449" w:rsidR="00FC1C6B" w:rsidRPr="00CD400A" w:rsidRDefault="00FC1C6B" w:rsidP="00FC1C6B">
      <w:pPr>
        <w:pStyle w:val="Paragraphedeliste"/>
        <w:numPr>
          <w:ilvl w:val="0"/>
          <w:numId w:val="1"/>
        </w:numPr>
        <w:spacing w:after="160"/>
        <w:jc w:val="both"/>
        <w:rPr>
          <w:rFonts w:ascii="Arial" w:hAnsi="Arial" w:cs="Arial"/>
          <w:bCs/>
          <w:szCs w:val="22"/>
          <w:lang w:val="fr-FR"/>
        </w:rPr>
      </w:pPr>
      <w:r w:rsidRPr="00CD400A">
        <w:rPr>
          <w:rFonts w:ascii="Arial" w:hAnsi="Arial" w:cs="Arial"/>
          <w:bCs/>
          <w:szCs w:val="22"/>
          <w:lang w:val="fr-FR"/>
        </w:rPr>
        <w:t>L’élaboration d’un plan d’action pour le suivi et la gestion des plans miniers des sociétés minières ;</w:t>
      </w:r>
    </w:p>
    <w:p w14:paraId="08B44CC5" w14:textId="77777777" w:rsidR="00FC1C6B" w:rsidRPr="00CD400A" w:rsidRDefault="00FC1C6B" w:rsidP="00FC1C6B">
      <w:pPr>
        <w:pStyle w:val="Paragraphedeliste"/>
        <w:numPr>
          <w:ilvl w:val="0"/>
          <w:numId w:val="1"/>
        </w:numPr>
        <w:spacing w:after="160"/>
        <w:jc w:val="both"/>
        <w:rPr>
          <w:rFonts w:ascii="Arial" w:hAnsi="Arial" w:cs="Arial"/>
          <w:bCs/>
          <w:szCs w:val="22"/>
          <w:lang w:val="fr-FR"/>
        </w:rPr>
      </w:pPr>
      <w:r w:rsidRPr="00CD400A">
        <w:rPr>
          <w:rFonts w:ascii="Arial" w:hAnsi="Arial" w:cs="Arial"/>
          <w:bCs/>
          <w:szCs w:val="22"/>
          <w:lang w:val="fr-FR"/>
        </w:rPr>
        <w:t xml:space="preserve">L’élaboration de </w:t>
      </w:r>
      <w:proofErr w:type="spellStart"/>
      <w:r w:rsidRPr="00CD400A">
        <w:rPr>
          <w:rFonts w:ascii="Arial" w:hAnsi="Arial" w:cs="Arial"/>
          <w:bCs/>
          <w:szCs w:val="22"/>
          <w:lang w:val="fr-FR"/>
        </w:rPr>
        <w:t>TdR</w:t>
      </w:r>
      <w:proofErr w:type="spellEnd"/>
      <w:r w:rsidRPr="00CD400A">
        <w:rPr>
          <w:rFonts w:ascii="Arial" w:hAnsi="Arial" w:cs="Arial"/>
          <w:bCs/>
          <w:szCs w:val="22"/>
          <w:lang w:val="fr-FR"/>
        </w:rPr>
        <w:t xml:space="preserve"> d’études de faisabilité des infrastructures ferroviaires et portuaires ;</w:t>
      </w:r>
    </w:p>
    <w:p w14:paraId="07F1C589" w14:textId="77777777" w:rsidR="00FC1C6B" w:rsidRPr="00CD400A" w:rsidRDefault="00FC1C6B" w:rsidP="00FC1C6B">
      <w:pPr>
        <w:pStyle w:val="Paragraphedeliste"/>
        <w:numPr>
          <w:ilvl w:val="0"/>
          <w:numId w:val="1"/>
        </w:numPr>
        <w:spacing w:after="160"/>
        <w:jc w:val="both"/>
        <w:rPr>
          <w:rFonts w:ascii="Arial" w:hAnsi="Arial" w:cs="Arial"/>
          <w:bCs/>
          <w:szCs w:val="22"/>
          <w:lang w:val="fr-FR"/>
        </w:rPr>
      </w:pPr>
      <w:r w:rsidRPr="00CD400A">
        <w:rPr>
          <w:rFonts w:ascii="Arial" w:hAnsi="Arial" w:cs="Arial"/>
          <w:bCs/>
          <w:szCs w:val="22"/>
          <w:lang w:val="fr-FR"/>
        </w:rPr>
        <w:t xml:space="preserve">L’élaboration de </w:t>
      </w:r>
      <w:proofErr w:type="spellStart"/>
      <w:r w:rsidRPr="00CD400A">
        <w:rPr>
          <w:rFonts w:ascii="Arial" w:hAnsi="Arial" w:cs="Arial"/>
          <w:bCs/>
          <w:szCs w:val="22"/>
          <w:lang w:val="fr-FR"/>
        </w:rPr>
        <w:t>TdR</w:t>
      </w:r>
      <w:proofErr w:type="spellEnd"/>
      <w:r w:rsidRPr="00CD400A">
        <w:rPr>
          <w:rFonts w:ascii="Arial" w:hAnsi="Arial" w:cs="Arial"/>
          <w:bCs/>
          <w:szCs w:val="22"/>
          <w:lang w:val="fr-FR"/>
        </w:rPr>
        <w:t xml:space="preserve"> pour une étude stratégique de transformation locale des ressources minières ;</w:t>
      </w:r>
    </w:p>
    <w:p w14:paraId="6133D370" w14:textId="77777777" w:rsidR="00FC1C6B" w:rsidRPr="00CD400A" w:rsidRDefault="00FC1C6B" w:rsidP="00FC1C6B">
      <w:pPr>
        <w:pStyle w:val="Paragraphedeliste"/>
        <w:numPr>
          <w:ilvl w:val="0"/>
          <w:numId w:val="1"/>
        </w:numPr>
        <w:spacing w:after="160"/>
        <w:jc w:val="both"/>
        <w:rPr>
          <w:rFonts w:ascii="Arial" w:hAnsi="Arial" w:cs="Arial"/>
          <w:bCs/>
          <w:szCs w:val="22"/>
          <w:lang w:val="fr-FR"/>
        </w:rPr>
      </w:pPr>
      <w:r w:rsidRPr="00CD400A">
        <w:rPr>
          <w:rFonts w:ascii="Arial" w:hAnsi="Arial" w:cs="Arial"/>
          <w:bCs/>
          <w:szCs w:val="22"/>
          <w:lang w:val="fr-FR"/>
        </w:rPr>
        <w:t>L’élaboration d’un plan de gestion des données résultant des études de géosciences (levés géologique, géochimique, géophysique, etc…) ;</w:t>
      </w:r>
    </w:p>
    <w:p w14:paraId="1C435225" w14:textId="77777777" w:rsidR="00FC1C6B" w:rsidRPr="00CD400A" w:rsidRDefault="00FC1C6B" w:rsidP="00FC1C6B">
      <w:pPr>
        <w:pStyle w:val="Paragraphedeliste"/>
        <w:numPr>
          <w:ilvl w:val="0"/>
          <w:numId w:val="1"/>
        </w:numPr>
        <w:spacing w:after="160"/>
        <w:jc w:val="both"/>
        <w:rPr>
          <w:rFonts w:ascii="Arial" w:hAnsi="Arial" w:cs="Arial"/>
          <w:bCs/>
          <w:szCs w:val="22"/>
          <w:lang w:val="fr-FR"/>
        </w:rPr>
      </w:pPr>
      <w:r w:rsidRPr="00CD400A">
        <w:rPr>
          <w:rFonts w:ascii="Arial" w:hAnsi="Arial" w:cs="Arial"/>
          <w:bCs/>
          <w:szCs w:val="22"/>
          <w:lang w:val="fr-FR"/>
        </w:rPr>
        <w:t>L’appui dans le suivi de la mise en œuvre du schéma directeur des infrastructures auxiliaires aux mines 2018 ;</w:t>
      </w:r>
    </w:p>
    <w:p w14:paraId="5DB322D7" w14:textId="77777777" w:rsidR="00FC1C6B" w:rsidRPr="00CD400A" w:rsidRDefault="00FC1C6B" w:rsidP="00FC1C6B">
      <w:pPr>
        <w:pStyle w:val="Paragraphedeliste"/>
        <w:numPr>
          <w:ilvl w:val="0"/>
          <w:numId w:val="1"/>
        </w:numPr>
        <w:spacing w:after="160"/>
        <w:jc w:val="both"/>
        <w:rPr>
          <w:rFonts w:ascii="Arial" w:hAnsi="Arial" w:cs="Arial"/>
          <w:bCs/>
          <w:szCs w:val="22"/>
          <w:lang w:val="fr-FR"/>
        </w:rPr>
      </w:pPr>
      <w:r w:rsidRPr="00CD400A">
        <w:rPr>
          <w:rFonts w:ascii="Arial" w:hAnsi="Arial" w:cs="Arial"/>
          <w:bCs/>
          <w:szCs w:val="22"/>
          <w:lang w:val="fr-FR"/>
        </w:rPr>
        <w:t>L’élaboration d’une stratégie nationale de l’exploitation artisanale durable de l’Or et du Diamant ;</w:t>
      </w:r>
    </w:p>
    <w:p w14:paraId="3C4C844C" w14:textId="77777777" w:rsidR="00FC1C6B" w:rsidRPr="00CD400A" w:rsidRDefault="00FC1C6B" w:rsidP="00FC1C6B">
      <w:pPr>
        <w:pStyle w:val="Paragraphedeliste"/>
        <w:numPr>
          <w:ilvl w:val="0"/>
          <w:numId w:val="1"/>
        </w:numPr>
        <w:spacing w:after="160"/>
        <w:jc w:val="both"/>
        <w:rPr>
          <w:rFonts w:ascii="Arial" w:hAnsi="Arial" w:cs="Arial"/>
          <w:bCs/>
          <w:szCs w:val="22"/>
          <w:lang w:val="fr-FR"/>
        </w:rPr>
      </w:pPr>
      <w:r w:rsidRPr="00CD400A">
        <w:rPr>
          <w:rFonts w:ascii="Arial" w:hAnsi="Arial" w:cs="Arial"/>
          <w:bCs/>
          <w:szCs w:val="22"/>
          <w:lang w:val="fr-FR"/>
        </w:rPr>
        <w:t>L’appui à la mise en œuvre de la stratégie nationale des minéraux critiques ;</w:t>
      </w:r>
    </w:p>
    <w:p w14:paraId="5E7C2A8E" w14:textId="77777777" w:rsidR="00FC1C6B" w:rsidRPr="00CD400A" w:rsidRDefault="00FC1C6B" w:rsidP="00FC1C6B">
      <w:pPr>
        <w:pStyle w:val="Paragraphedeliste"/>
        <w:numPr>
          <w:ilvl w:val="0"/>
          <w:numId w:val="1"/>
        </w:numPr>
        <w:spacing w:after="160"/>
        <w:jc w:val="both"/>
        <w:rPr>
          <w:rFonts w:ascii="Arial" w:hAnsi="Arial" w:cs="Arial"/>
          <w:bCs/>
          <w:szCs w:val="22"/>
          <w:lang w:val="fr-FR"/>
        </w:rPr>
      </w:pPr>
      <w:r w:rsidRPr="00CD400A">
        <w:rPr>
          <w:rFonts w:ascii="Arial" w:hAnsi="Arial" w:cs="Arial"/>
          <w:bCs/>
          <w:szCs w:val="22"/>
          <w:lang w:val="fr-FR"/>
        </w:rPr>
        <w:t>L’appui à la modélisation économique et financière des projets (recettes du secteur minier) ;</w:t>
      </w:r>
    </w:p>
    <w:p w14:paraId="5C796659" w14:textId="77777777" w:rsidR="00FC1C6B" w:rsidRPr="00CD400A" w:rsidRDefault="00FC1C6B" w:rsidP="00FC1C6B">
      <w:pPr>
        <w:pStyle w:val="Paragraphedeliste"/>
        <w:numPr>
          <w:ilvl w:val="0"/>
          <w:numId w:val="1"/>
        </w:numPr>
        <w:spacing w:after="160"/>
        <w:jc w:val="both"/>
        <w:rPr>
          <w:rFonts w:ascii="Arial" w:hAnsi="Arial" w:cs="Arial"/>
          <w:bCs/>
          <w:szCs w:val="22"/>
          <w:lang w:val="fr-FR"/>
        </w:rPr>
      </w:pPr>
      <w:r w:rsidRPr="00CD400A">
        <w:rPr>
          <w:rFonts w:ascii="Arial" w:hAnsi="Arial" w:cs="Arial"/>
          <w:bCs/>
          <w:szCs w:val="22"/>
          <w:lang w:val="fr-FR"/>
        </w:rPr>
        <w:t>L’appui conseil à la commercialisation des produits miniers ;</w:t>
      </w:r>
    </w:p>
    <w:p w14:paraId="3858393A" w14:textId="77777777" w:rsidR="00FC1C6B" w:rsidRPr="00CD400A" w:rsidRDefault="00FC1C6B" w:rsidP="00FC1C6B">
      <w:pPr>
        <w:pStyle w:val="Paragraphedeliste"/>
        <w:numPr>
          <w:ilvl w:val="0"/>
          <w:numId w:val="1"/>
        </w:numPr>
        <w:spacing w:after="160"/>
        <w:jc w:val="both"/>
        <w:rPr>
          <w:rFonts w:ascii="Arial" w:hAnsi="Arial" w:cs="Arial"/>
          <w:bCs/>
          <w:szCs w:val="22"/>
          <w:lang w:val="fr-FR"/>
        </w:rPr>
      </w:pPr>
      <w:r w:rsidRPr="00CD400A">
        <w:rPr>
          <w:rFonts w:ascii="Arial" w:hAnsi="Arial" w:cs="Arial"/>
          <w:bCs/>
          <w:szCs w:val="22"/>
          <w:lang w:val="fr-FR"/>
        </w:rPr>
        <w:t xml:space="preserve">L’appui à la mise en œuvre du programme </w:t>
      </w:r>
      <w:proofErr w:type="spellStart"/>
      <w:r w:rsidRPr="00CD400A">
        <w:rPr>
          <w:rFonts w:ascii="Arial" w:hAnsi="Arial" w:cs="Arial"/>
          <w:bCs/>
          <w:szCs w:val="22"/>
          <w:lang w:val="fr-FR"/>
        </w:rPr>
        <w:t>Simandou</w:t>
      </w:r>
      <w:proofErr w:type="spellEnd"/>
      <w:r w:rsidRPr="00CD400A">
        <w:rPr>
          <w:rFonts w:ascii="Arial" w:hAnsi="Arial" w:cs="Arial"/>
          <w:bCs/>
          <w:szCs w:val="22"/>
          <w:lang w:val="fr-FR"/>
        </w:rPr>
        <w:t xml:space="preserve"> 2040 concernant le secteur minier. </w:t>
      </w:r>
    </w:p>
    <w:p w14:paraId="2B983831" w14:textId="77777777" w:rsidR="00FC1C6B" w:rsidRPr="00CD400A" w:rsidRDefault="00FC1C6B" w:rsidP="00FC1C6B">
      <w:pPr>
        <w:pStyle w:val="Paragraphedeliste"/>
        <w:numPr>
          <w:ilvl w:val="0"/>
          <w:numId w:val="1"/>
        </w:numPr>
        <w:spacing w:after="160"/>
        <w:jc w:val="both"/>
        <w:rPr>
          <w:rFonts w:ascii="Arial" w:hAnsi="Arial" w:cs="Arial"/>
          <w:bCs/>
          <w:szCs w:val="22"/>
          <w:lang w:val="fr-FR"/>
        </w:rPr>
      </w:pPr>
      <w:r w:rsidRPr="00CD400A">
        <w:rPr>
          <w:rFonts w:ascii="Arial" w:hAnsi="Arial" w:cs="Arial"/>
          <w:bCs/>
          <w:szCs w:val="22"/>
          <w:lang w:val="fr-FR"/>
        </w:rPr>
        <w:lastRenderedPageBreak/>
        <w:t>L’appui au suivi et contrôle des opérations minières et des infrastructures auxiliaires aux mines</w:t>
      </w:r>
    </w:p>
    <w:p w14:paraId="09B08CA4" w14:textId="77777777" w:rsidR="00FC1C6B" w:rsidRPr="00CD400A" w:rsidRDefault="00FC1C6B" w:rsidP="00FC1C6B">
      <w:pPr>
        <w:jc w:val="both"/>
        <w:rPr>
          <w:rFonts w:ascii="Arial" w:hAnsi="Arial" w:cs="Arial"/>
          <w:bCs/>
          <w:szCs w:val="22"/>
          <w:lang w:val="fr-FR"/>
        </w:rPr>
      </w:pPr>
      <w:r w:rsidRPr="00CD400A">
        <w:rPr>
          <w:rFonts w:ascii="Arial" w:hAnsi="Arial" w:cs="Arial"/>
          <w:bCs/>
          <w:szCs w:val="22"/>
          <w:lang w:val="fr-FR"/>
        </w:rPr>
        <w:t>Cet appui devra permettre au Gouvernement guinéen de s’assurer que l’exploitation de ses ressources minières se fera en conformité avec les règles de l’art tout en préservant un juste équilibre entre les intérêts des investisseurs et ses propres intérêts financiers, économiques, environnementaux et stratégiques de développement.</w:t>
      </w:r>
    </w:p>
    <w:p w14:paraId="3CAE5130" w14:textId="77777777" w:rsidR="008459E6" w:rsidRPr="00CD400A" w:rsidRDefault="008459E6" w:rsidP="000A2793">
      <w:pPr>
        <w:jc w:val="both"/>
        <w:rPr>
          <w:rFonts w:ascii="Arial" w:hAnsi="Arial" w:cs="Arial"/>
          <w:bCs/>
          <w:szCs w:val="22"/>
          <w:lang w:val="fr-FR"/>
        </w:rPr>
      </w:pPr>
    </w:p>
    <w:p w14:paraId="71F984C8" w14:textId="77777777" w:rsidR="008459E6" w:rsidRPr="00CD400A" w:rsidRDefault="008459E6" w:rsidP="0092692D">
      <w:pPr>
        <w:autoSpaceDE w:val="0"/>
        <w:autoSpaceDN w:val="0"/>
        <w:adjustRightInd w:val="0"/>
        <w:ind w:right="-879"/>
        <w:jc w:val="both"/>
        <w:rPr>
          <w:rFonts w:ascii="Arial" w:hAnsi="Arial" w:cs="Arial"/>
          <w:kern w:val="1"/>
          <w:szCs w:val="22"/>
          <w:lang w:val="fr-FR"/>
        </w:rPr>
      </w:pPr>
      <w:r w:rsidRPr="00CD400A">
        <w:rPr>
          <w:rFonts w:ascii="Arial" w:hAnsi="Arial" w:cs="Arial"/>
          <w:kern w:val="1"/>
          <w:szCs w:val="22"/>
          <w:lang w:val="fr-FR"/>
        </w:rPr>
        <w:t>Les Termes de Références (TDRs) détaillés de la mission peuvent être obtenus à l'adresse indiquée ci-dessous.</w:t>
      </w:r>
    </w:p>
    <w:p w14:paraId="06DD295E" w14:textId="77777777" w:rsidR="008459E6" w:rsidRPr="00CD400A" w:rsidRDefault="008459E6" w:rsidP="008459E6">
      <w:pPr>
        <w:pStyle w:val="Paragraphedeliste"/>
        <w:ind w:left="284"/>
        <w:jc w:val="both"/>
        <w:rPr>
          <w:rFonts w:ascii="Arial" w:hAnsi="Arial" w:cs="Arial"/>
          <w:bCs/>
          <w:szCs w:val="22"/>
          <w:lang w:val="fr-FR"/>
        </w:rPr>
      </w:pPr>
      <w:r w:rsidRPr="00CD400A">
        <w:rPr>
          <w:rFonts w:ascii="Arial" w:hAnsi="Arial" w:cs="Arial"/>
          <w:bCs/>
          <w:szCs w:val="22"/>
          <w:lang w:val="fr-FR"/>
        </w:rPr>
        <w:t>    </w:t>
      </w:r>
    </w:p>
    <w:p w14:paraId="6D88A7A7" w14:textId="77777777" w:rsidR="008459E6" w:rsidRPr="00CD400A" w:rsidRDefault="008459E6" w:rsidP="008459E6">
      <w:pPr>
        <w:jc w:val="both"/>
        <w:rPr>
          <w:rFonts w:ascii="Arial" w:hAnsi="Arial" w:cs="Arial"/>
          <w:szCs w:val="22"/>
          <w:lang w:val="fr-FR"/>
        </w:rPr>
      </w:pPr>
      <w:r w:rsidRPr="00CD400A">
        <w:rPr>
          <w:rFonts w:ascii="Arial" w:hAnsi="Arial" w:cs="Arial"/>
          <w:szCs w:val="22"/>
          <w:lang w:val="fr-FR"/>
        </w:rPr>
        <w:t xml:space="preserve">L’Unité de Gestion du Projet de Gestion des Ressources Naturelles, Minières et de l’Environnement (PGRNME) invite les firmes de consultants (« Consultants ») admissibles à manifester leur intérêt à fournir les services. Les Consultants intéressés doivent fournir les informations démontrant qu’ils possèdent les qualifications requises et une expérience pertinente pour l’exécution des Services. Les critères pour l’établissement de la liste restreinte sont : </w:t>
      </w:r>
    </w:p>
    <w:p w14:paraId="6D56D9E7" w14:textId="77777777" w:rsidR="00FC1C6B" w:rsidRDefault="00FC1C6B" w:rsidP="000A2793">
      <w:pPr>
        <w:pStyle w:val="Paragraphedeliste"/>
        <w:numPr>
          <w:ilvl w:val="0"/>
          <w:numId w:val="5"/>
        </w:numPr>
        <w:jc w:val="both"/>
        <w:rPr>
          <w:rFonts w:ascii="Arial" w:hAnsi="Arial" w:cs="Arial"/>
          <w:b/>
          <w:szCs w:val="22"/>
          <w:lang w:val="fr-FR"/>
        </w:rPr>
      </w:pPr>
      <w:r w:rsidRPr="00CD400A">
        <w:rPr>
          <w:rFonts w:ascii="Arial" w:hAnsi="Arial" w:cs="Arial"/>
          <w:b/>
          <w:szCs w:val="22"/>
          <w:lang w:val="fr-FR"/>
        </w:rPr>
        <w:t>Expérience générale :</w:t>
      </w:r>
    </w:p>
    <w:p w14:paraId="0434FE4F" w14:textId="77777777" w:rsidR="00CD400A" w:rsidRPr="00CD400A" w:rsidRDefault="00CD400A" w:rsidP="00CD400A">
      <w:pPr>
        <w:pStyle w:val="Paragraphedeliste"/>
        <w:ind w:left="1440"/>
        <w:jc w:val="both"/>
        <w:rPr>
          <w:rFonts w:ascii="Arial" w:hAnsi="Arial" w:cs="Arial"/>
          <w:b/>
          <w:szCs w:val="22"/>
          <w:lang w:val="fr-FR"/>
        </w:rPr>
      </w:pPr>
    </w:p>
    <w:p w14:paraId="6BFB70CE" w14:textId="49BB877C" w:rsidR="00E83D0E" w:rsidRPr="00CD400A" w:rsidRDefault="00FC1C6B" w:rsidP="0092692D">
      <w:pPr>
        <w:spacing w:after="120" w:line="276" w:lineRule="auto"/>
        <w:jc w:val="both"/>
        <w:rPr>
          <w:rFonts w:ascii="Arial" w:hAnsi="Arial" w:cs="Arial"/>
          <w:spacing w:val="-2"/>
          <w:szCs w:val="22"/>
          <w:lang w:val="fr"/>
        </w:rPr>
      </w:pPr>
      <w:r w:rsidRPr="00CD400A">
        <w:rPr>
          <w:rFonts w:ascii="Arial" w:hAnsi="Arial" w:cs="Arial"/>
          <w:bCs/>
          <w:szCs w:val="22"/>
          <w:lang w:val="fr-FR"/>
        </w:rPr>
        <w:t xml:space="preserve">Le Cabinet Conseil doit </w:t>
      </w:r>
      <w:bookmarkStart w:id="0" w:name="page13"/>
      <w:bookmarkStart w:id="1" w:name="page14"/>
      <w:bookmarkEnd w:id="0"/>
      <w:bookmarkEnd w:id="1"/>
      <w:r w:rsidRPr="00CD400A">
        <w:rPr>
          <w:rFonts w:ascii="Arial" w:hAnsi="Arial" w:cs="Arial"/>
          <w:bCs/>
          <w:szCs w:val="22"/>
          <w:lang w:val="fr-FR"/>
        </w:rPr>
        <w:t xml:space="preserve">avoir l’expérience générale de dix ans (10) </w:t>
      </w:r>
      <w:r w:rsidR="00CD400A" w:rsidRPr="00CD400A">
        <w:rPr>
          <w:rFonts w:ascii="Arial" w:hAnsi="Arial" w:cs="Arial"/>
          <w:bCs/>
          <w:szCs w:val="22"/>
          <w:lang w:val="fr-FR"/>
        </w:rPr>
        <w:t>ans, au</w:t>
      </w:r>
      <w:r w:rsidRPr="00CD400A">
        <w:rPr>
          <w:rFonts w:ascii="Arial" w:hAnsi="Arial" w:cs="Arial"/>
          <w:bCs/>
          <w:szCs w:val="22"/>
          <w:lang w:val="fr-FR"/>
        </w:rPr>
        <w:t xml:space="preserve"> </w:t>
      </w:r>
      <w:r w:rsidR="0092692D" w:rsidRPr="00CD400A">
        <w:rPr>
          <w:rFonts w:ascii="Arial" w:hAnsi="Arial" w:cs="Arial"/>
          <w:bCs/>
          <w:szCs w:val="22"/>
          <w:lang w:val="fr-FR"/>
        </w:rPr>
        <w:t>moins, dans</w:t>
      </w:r>
      <w:r w:rsidRPr="00CD400A">
        <w:rPr>
          <w:rFonts w:ascii="Arial" w:hAnsi="Arial" w:cs="Arial"/>
          <w:bCs/>
          <w:szCs w:val="22"/>
          <w:lang w:val="fr-FR"/>
        </w:rPr>
        <w:t xml:space="preserve"> les domaines suivants : </w:t>
      </w:r>
      <w:r w:rsidR="00E83D0E" w:rsidRPr="00CD400A">
        <w:rPr>
          <w:rFonts w:ascii="Arial" w:hAnsi="Arial" w:cs="Arial"/>
          <w:spacing w:val="-2"/>
          <w:szCs w:val="22"/>
          <w:lang w:val="fr"/>
        </w:rPr>
        <w:t xml:space="preserve">dans les domaines suivants : géologie, économie minière, transition </w:t>
      </w:r>
      <w:bookmarkStart w:id="2" w:name="_Hlk217244512"/>
      <w:r w:rsidR="00E83D0E" w:rsidRPr="00CD400A">
        <w:rPr>
          <w:rFonts w:ascii="Arial" w:hAnsi="Arial" w:cs="Arial"/>
          <w:spacing w:val="-2"/>
          <w:szCs w:val="22"/>
          <w:lang w:val="fr"/>
        </w:rPr>
        <w:t>énergétique ou gouvernance des ressources </w:t>
      </w:r>
    </w:p>
    <w:p w14:paraId="1B57FE7C" w14:textId="77777777" w:rsidR="00FC1C6B" w:rsidRDefault="00FC1C6B" w:rsidP="000A2793">
      <w:pPr>
        <w:pStyle w:val="Paragraphedeliste"/>
        <w:numPr>
          <w:ilvl w:val="0"/>
          <w:numId w:val="5"/>
        </w:numPr>
        <w:jc w:val="both"/>
        <w:rPr>
          <w:rFonts w:ascii="Arial" w:hAnsi="Arial" w:cs="Arial"/>
          <w:b/>
          <w:szCs w:val="22"/>
          <w:lang w:val="fr-FR"/>
        </w:rPr>
      </w:pPr>
      <w:bookmarkStart w:id="3" w:name="_Hlk217244491"/>
      <w:r w:rsidRPr="00CD400A">
        <w:rPr>
          <w:rFonts w:ascii="Arial" w:hAnsi="Arial" w:cs="Arial"/>
          <w:b/>
          <w:szCs w:val="22"/>
          <w:lang w:val="fr-FR"/>
        </w:rPr>
        <w:t>Expérience spécifique :</w:t>
      </w:r>
    </w:p>
    <w:p w14:paraId="274A87AF" w14:textId="77777777" w:rsidR="00CD400A" w:rsidRPr="00CD400A" w:rsidRDefault="00CD400A" w:rsidP="00CD400A">
      <w:pPr>
        <w:pStyle w:val="Paragraphedeliste"/>
        <w:ind w:left="1440"/>
        <w:jc w:val="both"/>
        <w:rPr>
          <w:rFonts w:ascii="Arial" w:hAnsi="Arial" w:cs="Arial"/>
          <w:b/>
          <w:szCs w:val="22"/>
          <w:lang w:val="fr-FR"/>
        </w:rPr>
      </w:pPr>
    </w:p>
    <w:bookmarkEnd w:id="3"/>
    <w:p w14:paraId="5F12D5F9" w14:textId="224BC080" w:rsidR="00FC1C6B" w:rsidRPr="00CD400A" w:rsidRDefault="00FC1C6B" w:rsidP="000A2793">
      <w:pPr>
        <w:jc w:val="both"/>
        <w:rPr>
          <w:rFonts w:ascii="Arial" w:hAnsi="Arial" w:cs="Arial"/>
          <w:bCs/>
          <w:szCs w:val="22"/>
          <w:lang w:val="fr-FR"/>
        </w:rPr>
      </w:pPr>
      <w:r w:rsidRPr="00CD400A">
        <w:rPr>
          <w:rFonts w:ascii="Arial" w:hAnsi="Arial" w:cs="Arial"/>
          <w:bCs/>
          <w:szCs w:val="22"/>
          <w:lang w:val="fr-FR"/>
        </w:rPr>
        <w:t xml:space="preserve">Le Cabinet doit : </w:t>
      </w:r>
    </w:p>
    <w:bookmarkEnd w:id="2"/>
    <w:p w14:paraId="761ECB8D" w14:textId="50A2493A" w:rsidR="009868FA" w:rsidRPr="00CD400A" w:rsidRDefault="00E83D0E" w:rsidP="009868FA">
      <w:pPr>
        <w:pStyle w:val="Paragraphedeliste"/>
        <w:numPr>
          <w:ilvl w:val="0"/>
          <w:numId w:val="6"/>
        </w:numPr>
        <w:jc w:val="both"/>
        <w:rPr>
          <w:rFonts w:ascii="Arial" w:hAnsi="Arial" w:cs="Arial"/>
          <w:bCs/>
          <w:szCs w:val="22"/>
          <w:lang w:val="fr-FR"/>
        </w:rPr>
      </w:pPr>
      <w:proofErr w:type="gramStart"/>
      <w:r w:rsidRPr="00CD400A">
        <w:rPr>
          <w:rFonts w:ascii="Arial" w:hAnsi="Arial" w:cs="Arial"/>
          <w:bCs/>
          <w:szCs w:val="22"/>
          <w:lang w:val="fr-FR"/>
        </w:rPr>
        <w:t>avoir</w:t>
      </w:r>
      <w:proofErr w:type="gramEnd"/>
      <w:r w:rsidRPr="00CD400A">
        <w:rPr>
          <w:rFonts w:ascii="Arial" w:hAnsi="Arial" w:cs="Arial"/>
          <w:bCs/>
          <w:szCs w:val="22"/>
          <w:lang w:val="fr-FR"/>
        </w:rPr>
        <w:t xml:space="preserve"> </w:t>
      </w:r>
      <w:r w:rsidR="008B6E14" w:rsidRPr="00CD400A">
        <w:rPr>
          <w:rFonts w:ascii="Arial" w:hAnsi="Arial" w:cs="Arial"/>
          <w:bCs/>
          <w:szCs w:val="22"/>
          <w:lang w:val="fr-FR"/>
        </w:rPr>
        <w:t>une expérience confirmée de réalisation avec succès de</w:t>
      </w:r>
      <w:r w:rsidR="009868FA" w:rsidRPr="00CD400A">
        <w:rPr>
          <w:rFonts w:ascii="Arial" w:hAnsi="Arial" w:cs="Arial"/>
          <w:bCs/>
          <w:szCs w:val="22"/>
          <w:lang w:val="fr-FR"/>
        </w:rPr>
        <w:t xml:space="preserve"> </w:t>
      </w:r>
      <w:r w:rsidR="00FC1C6B" w:rsidRPr="00CD400A">
        <w:rPr>
          <w:rFonts w:ascii="Arial" w:hAnsi="Arial" w:cs="Arial"/>
          <w:bCs/>
          <w:szCs w:val="22"/>
          <w:lang w:val="fr-FR"/>
        </w:rPr>
        <w:t>trois (3) missions similaires, au moins</w:t>
      </w:r>
      <w:r w:rsidR="009868FA" w:rsidRPr="00CD400A">
        <w:rPr>
          <w:rFonts w:ascii="Arial" w:hAnsi="Arial" w:cs="Arial"/>
          <w:bCs/>
          <w:szCs w:val="22"/>
          <w:lang w:val="fr-FR"/>
        </w:rPr>
        <w:t>,</w:t>
      </w:r>
      <w:r w:rsidR="00FC1C6B" w:rsidRPr="00CD400A">
        <w:rPr>
          <w:rFonts w:ascii="Arial" w:hAnsi="Arial" w:cs="Arial"/>
          <w:bCs/>
          <w:szCs w:val="22"/>
          <w:lang w:val="fr-FR"/>
        </w:rPr>
        <w:t xml:space="preserve"> dans le secteur extractif</w:t>
      </w:r>
      <w:r w:rsidR="008B6E14" w:rsidRPr="00CD400A">
        <w:rPr>
          <w:rFonts w:ascii="Arial" w:hAnsi="Arial" w:cs="Arial"/>
          <w:bCs/>
          <w:szCs w:val="22"/>
          <w:lang w:val="fr-FR"/>
        </w:rPr>
        <w:t>, les assistances techniques en politiques minières ou</w:t>
      </w:r>
      <w:r w:rsidR="00FC1C6B" w:rsidRPr="00CD400A">
        <w:rPr>
          <w:rFonts w:ascii="Arial" w:hAnsi="Arial" w:cs="Arial"/>
          <w:bCs/>
          <w:szCs w:val="22"/>
          <w:lang w:val="fr-FR"/>
        </w:rPr>
        <w:t xml:space="preserve"> </w:t>
      </w:r>
      <w:r w:rsidR="009868FA" w:rsidRPr="00CD400A">
        <w:rPr>
          <w:rFonts w:ascii="Arial" w:hAnsi="Arial" w:cs="Arial"/>
          <w:spacing w:val="-2"/>
          <w:szCs w:val="22"/>
          <w:lang w:val="fr"/>
        </w:rPr>
        <w:t>la planification sectorielle ;</w:t>
      </w:r>
    </w:p>
    <w:p w14:paraId="241E79D1" w14:textId="2996AD4B" w:rsidR="008B6E14" w:rsidRPr="00CD400A" w:rsidRDefault="008B6E14" w:rsidP="009868FA">
      <w:pPr>
        <w:pStyle w:val="Paragraphedeliste"/>
        <w:numPr>
          <w:ilvl w:val="0"/>
          <w:numId w:val="6"/>
        </w:numPr>
        <w:jc w:val="both"/>
        <w:rPr>
          <w:rFonts w:ascii="Arial" w:hAnsi="Arial" w:cs="Arial"/>
          <w:bCs/>
          <w:szCs w:val="22"/>
          <w:lang w:val="fr-FR"/>
        </w:rPr>
      </w:pPr>
      <w:proofErr w:type="gramStart"/>
      <w:r w:rsidRPr="00CD400A">
        <w:rPr>
          <w:rFonts w:ascii="Arial" w:hAnsi="Arial" w:cs="Arial"/>
          <w:spacing w:val="-2"/>
          <w:szCs w:val="22"/>
          <w:lang w:val="fr"/>
        </w:rPr>
        <w:t>avoir</w:t>
      </w:r>
      <w:proofErr w:type="gramEnd"/>
      <w:r w:rsidRPr="00CD400A">
        <w:rPr>
          <w:rFonts w:ascii="Arial" w:hAnsi="Arial" w:cs="Arial"/>
          <w:spacing w:val="-2"/>
          <w:szCs w:val="22"/>
          <w:lang w:val="fr"/>
        </w:rPr>
        <w:t xml:space="preserve"> des aptitudes démontrées pour l’appui aux négociations de projets miniers de grandes envergures ;</w:t>
      </w:r>
    </w:p>
    <w:p w14:paraId="22708CC8" w14:textId="10B61A18" w:rsidR="008B6E14" w:rsidRPr="00CD400A" w:rsidRDefault="008B6E14" w:rsidP="0092692D">
      <w:pPr>
        <w:pStyle w:val="Paragraphedeliste"/>
        <w:numPr>
          <w:ilvl w:val="0"/>
          <w:numId w:val="6"/>
        </w:numPr>
        <w:jc w:val="both"/>
        <w:rPr>
          <w:rFonts w:ascii="Arial" w:hAnsi="Arial" w:cs="Arial"/>
          <w:spacing w:val="-2"/>
          <w:szCs w:val="22"/>
          <w:lang w:val="fr"/>
        </w:rPr>
      </w:pPr>
      <w:proofErr w:type="gramStart"/>
      <w:r w:rsidRPr="00CD400A">
        <w:rPr>
          <w:rFonts w:ascii="Arial" w:hAnsi="Arial" w:cs="Arial"/>
          <w:spacing w:val="-2"/>
          <w:szCs w:val="22"/>
          <w:lang w:val="fr"/>
        </w:rPr>
        <w:t>avoir</w:t>
      </w:r>
      <w:proofErr w:type="gramEnd"/>
      <w:r w:rsidRPr="00CD400A">
        <w:rPr>
          <w:rFonts w:ascii="Arial" w:hAnsi="Arial" w:cs="Arial"/>
          <w:spacing w:val="-2"/>
          <w:szCs w:val="22"/>
          <w:lang w:val="fr"/>
        </w:rPr>
        <w:t xml:space="preserve"> une aptitude démontrée en suivi et contrôle technique de larges projets miniers opérant des ports et des chemins de fer ;</w:t>
      </w:r>
    </w:p>
    <w:p w14:paraId="42158D99" w14:textId="77777777" w:rsidR="009868FA" w:rsidRPr="00CD400A" w:rsidRDefault="009868FA" w:rsidP="009868FA">
      <w:pPr>
        <w:pStyle w:val="Paragraphedeliste"/>
        <w:numPr>
          <w:ilvl w:val="0"/>
          <w:numId w:val="6"/>
        </w:numPr>
        <w:tabs>
          <w:tab w:val="left" w:pos="9640"/>
        </w:tabs>
        <w:autoSpaceDE w:val="0"/>
        <w:autoSpaceDN w:val="0"/>
        <w:adjustRightInd w:val="0"/>
        <w:spacing w:after="120" w:line="276" w:lineRule="auto"/>
        <w:ind w:right="-46"/>
        <w:jc w:val="both"/>
        <w:rPr>
          <w:rFonts w:ascii="Arial" w:hAnsi="Arial" w:cs="Arial"/>
          <w:spacing w:val="-2"/>
          <w:szCs w:val="22"/>
          <w:lang w:val="fr"/>
        </w:rPr>
      </w:pPr>
      <w:r w:rsidRPr="00CD400A">
        <w:rPr>
          <w:rFonts w:ascii="Arial" w:hAnsi="Arial" w:cs="Arial"/>
          <w:spacing w:val="-2"/>
          <w:szCs w:val="22"/>
          <w:lang w:val="fr"/>
        </w:rPr>
        <w:t xml:space="preserve">Avoir la connaissance des marchés et l’expérience confirmée dans la structuration des projets en PPP </w:t>
      </w:r>
    </w:p>
    <w:p w14:paraId="4FE5FA20" w14:textId="77777777" w:rsidR="009868FA" w:rsidRPr="00CD400A" w:rsidRDefault="009868FA" w:rsidP="009868FA">
      <w:pPr>
        <w:pStyle w:val="Paragraphedeliste"/>
        <w:numPr>
          <w:ilvl w:val="0"/>
          <w:numId w:val="6"/>
        </w:numPr>
        <w:tabs>
          <w:tab w:val="left" w:pos="9640"/>
        </w:tabs>
        <w:autoSpaceDE w:val="0"/>
        <w:autoSpaceDN w:val="0"/>
        <w:adjustRightInd w:val="0"/>
        <w:spacing w:after="120" w:line="276" w:lineRule="auto"/>
        <w:ind w:right="-46"/>
        <w:jc w:val="both"/>
        <w:rPr>
          <w:rFonts w:ascii="Arial" w:hAnsi="Arial" w:cs="Arial"/>
          <w:spacing w:val="-2"/>
          <w:szCs w:val="22"/>
          <w:lang w:val="fr"/>
        </w:rPr>
      </w:pPr>
      <w:r w:rsidRPr="00CD400A">
        <w:rPr>
          <w:rFonts w:ascii="Arial" w:eastAsiaTheme="minorHAnsi" w:hAnsi="Arial" w:cs="Arial"/>
          <w:spacing w:val="-2"/>
          <w:szCs w:val="22"/>
          <w:lang w:val="fr"/>
        </w:rPr>
        <w:t>Avoir l’expérience avérée dans la conduite des projets similaires dans les pays développés en général, en Afrique sub-saharienne, en Guinée en particulier</w:t>
      </w:r>
    </w:p>
    <w:p w14:paraId="533276DE" w14:textId="4FECDDF5" w:rsidR="0092692D" w:rsidRPr="00CD400A" w:rsidRDefault="00FC1C6B" w:rsidP="0092692D">
      <w:pPr>
        <w:pStyle w:val="Paragraphedeliste"/>
        <w:numPr>
          <w:ilvl w:val="0"/>
          <w:numId w:val="5"/>
        </w:numPr>
        <w:jc w:val="both"/>
        <w:rPr>
          <w:rFonts w:ascii="Arial" w:hAnsi="Arial" w:cs="Arial"/>
          <w:b/>
          <w:szCs w:val="22"/>
          <w:lang w:val="fr-FR"/>
        </w:rPr>
      </w:pPr>
      <w:r w:rsidRPr="00CD400A">
        <w:rPr>
          <w:rFonts w:ascii="Arial" w:hAnsi="Arial" w:cs="Arial"/>
          <w:b/>
          <w:szCs w:val="22"/>
          <w:lang w:val="fr-FR"/>
        </w:rPr>
        <w:t xml:space="preserve">Disposer d’une capacité technique et administrative en présentant les pièces </w:t>
      </w:r>
      <w:r w:rsidR="00803B35" w:rsidRPr="00CD400A">
        <w:rPr>
          <w:rFonts w:ascii="Arial" w:hAnsi="Arial" w:cs="Arial"/>
          <w:b/>
          <w:szCs w:val="22"/>
          <w:lang w:val="fr-FR"/>
        </w:rPr>
        <w:t>requises (</w:t>
      </w:r>
      <w:r w:rsidR="009868FA" w:rsidRPr="00CD400A">
        <w:rPr>
          <w:rFonts w:ascii="Arial" w:hAnsi="Arial" w:cs="Arial"/>
          <w:b/>
          <w:szCs w:val="22"/>
          <w:lang w:val="fr-FR"/>
        </w:rPr>
        <w:t>Agrément/RCCM, Organisation/organigramme, inscription à un ordre professionnel, etc.).</w:t>
      </w:r>
    </w:p>
    <w:p w14:paraId="66B497B4" w14:textId="77777777" w:rsidR="0092692D" w:rsidRPr="00CD400A" w:rsidRDefault="0092692D" w:rsidP="0092692D">
      <w:pPr>
        <w:pStyle w:val="Paragraphedeliste"/>
        <w:ind w:left="1440"/>
        <w:jc w:val="both"/>
        <w:rPr>
          <w:rFonts w:ascii="Arial" w:hAnsi="Arial" w:cs="Arial"/>
          <w:b/>
          <w:szCs w:val="22"/>
          <w:lang w:val="fr-FR"/>
        </w:rPr>
      </w:pPr>
    </w:p>
    <w:p w14:paraId="6F18CEE2" w14:textId="26EC52D5" w:rsidR="00FC1C6B" w:rsidRDefault="00FC1C6B" w:rsidP="0092692D">
      <w:pPr>
        <w:jc w:val="both"/>
        <w:rPr>
          <w:rFonts w:ascii="Arial" w:eastAsiaTheme="minorHAnsi" w:hAnsi="Arial" w:cs="Arial"/>
          <w:b/>
          <w:szCs w:val="22"/>
          <w:lang w:val="fr-FR"/>
        </w:rPr>
      </w:pPr>
      <w:r w:rsidRPr="00CD400A">
        <w:rPr>
          <w:rFonts w:ascii="Arial" w:hAnsi="Arial" w:cs="Arial"/>
          <w:b/>
          <w:szCs w:val="22"/>
          <w:lang w:val="fr-FR"/>
        </w:rPr>
        <w:t>Ce qui pourrait correspondre</w:t>
      </w:r>
      <w:r w:rsidRPr="00CD400A">
        <w:rPr>
          <w:rFonts w:ascii="Arial" w:eastAsiaTheme="minorHAnsi" w:hAnsi="Arial" w:cs="Arial"/>
          <w:b/>
          <w:szCs w:val="22"/>
          <w:lang w:val="fr-FR"/>
        </w:rPr>
        <w:t xml:space="preserve"> à la répartition ci-après :</w:t>
      </w:r>
    </w:p>
    <w:p w14:paraId="03CEF461" w14:textId="77777777" w:rsidR="00CD400A" w:rsidRPr="00CD400A" w:rsidRDefault="00CD400A" w:rsidP="0092692D">
      <w:pPr>
        <w:jc w:val="both"/>
        <w:rPr>
          <w:rFonts w:ascii="Arial" w:hAnsi="Arial" w:cs="Arial"/>
          <w:b/>
          <w:szCs w:val="22"/>
          <w:lang w:val="fr-FR"/>
        </w:rPr>
      </w:pPr>
    </w:p>
    <w:p w14:paraId="7A027464" w14:textId="77777777" w:rsidR="000A2793" w:rsidRPr="00CD400A" w:rsidRDefault="00FC1C6B" w:rsidP="000A2793">
      <w:pPr>
        <w:pStyle w:val="Paragraphedeliste"/>
        <w:numPr>
          <w:ilvl w:val="0"/>
          <w:numId w:val="7"/>
        </w:numPr>
        <w:jc w:val="both"/>
        <w:rPr>
          <w:rFonts w:ascii="Arial" w:eastAsiaTheme="minorHAnsi" w:hAnsi="Arial" w:cs="Arial"/>
          <w:bCs/>
          <w:szCs w:val="22"/>
          <w:lang w:val="fr-FR"/>
        </w:rPr>
      </w:pPr>
      <w:r w:rsidRPr="00CD400A">
        <w:rPr>
          <w:rFonts w:ascii="Arial" w:eastAsiaTheme="minorHAnsi" w:hAnsi="Arial" w:cs="Arial"/>
          <w:bCs/>
          <w:szCs w:val="22"/>
          <w:lang w:val="fr-FR"/>
        </w:rPr>
        <w:t>Expérience générale (</w:t>
      </w:r>
      <w:r w:rsidRPr="00CD400A">
        <w:rPr>
          <w:rFonts w:ascii="Arial" w:hAnsi="Arial" w:cs="Arial"/>
          <w:bCs/>
          <w:szCs w:val="22"/>
          <w:lang w:val="fr-FR"/>
        </w:rPr>
        <w:t>2</w:t>
      </w:r>
      <w:r w:rsidRPr="00CD400A">
        <w:rPr>
          <w:rFonts w:ascii="Arial" w:eastAsiaTheme="minorHAnsi" w:hAnsi="Arial" w:cs="Arial"/>
          <w:bCs/>
          <w:szCs w:val="22"/>
          <w:lang w:val="fr-FR"/>
        </w:rPr>
        <w:t>0 points) ;       </w:t>
      </w:r>
    </w:p>
    <w:p w14:paraId="50BE371F" w14:textId="77777777" w:rsidR="000A2793" w:rsidRPr="00CD400A" w:rsidRDefault="00FC1C6B" w:rsidP="000A2793">
      <w:pPr>
        <w:pStyle w:val="Paragraphedeliste"/>
        <w:numPr>
          <w:ilvl w:val="0"/>
          <w:numId w:val="7"/>
        </w:numPr>
        <w:jc w:val="both"/>
        <w:rPr>
          <w:rFonts w:ascii="Arial" w:eastAsiaTheme="minorHAnsi" w:hAnsi="Arial" w:cs="Arial"/>
          <w:bCs/>
          <w:szCs w:val="22"/>
          <w:lang w:val="fr-FR"/>
        </w:rPr>
      </w:pPr>
      <w:r w:rsidRPr="00CD400A">
        <w:rPr>
          <w:rFonts w:ascii="Arial" w:hAnsi="Arial" w:cs="Arial"/>
          <w:bCs/>
          <w:szCs w:val="22"/>
          <w:lang w:val="fr-FR"/>
        </w:rPr>
        <w:t xml:space="preserve"> </w:t>
      </w:r>
      <w:r w:rsidRPr="00CD400A">
        <w:rPr>
          <w:rFonts w:ascii="Arial" w:eastAsiaTheme="minorHAnsi" w:hAnsi="Arial" w:cs="Arial"/>
          <w:bCs/>
          <w:szCs w:val="22"/>
          <w:lang w:val="fr-FR"/>
        </w:rPr>
        <w:t xml:space="preserve">Expériences </w:t>
      </w:r>
      <w:r w:rsidRPr="00CD400A">
        <w:rPr>
          <w:rFonts w:ascii="Arial" w:hAnsi="Arial" w:cs="Arial"/>
          <w:bCs/>
          <w:szCs w:val="22"/>
          <w:lang w:val="fr-FR"/>
        </w:rPr>
        <w:t>spécifique</w:t>
      </w:r>
      <w:r w:rsidRPr="00CD400A">
        <w:rPr>
          <w:rFonts w:ascii="Arial" w:eastAsiaTheme="minorHAnsi" w:hAnsi="Arial" w:cs="Arial"/>
          <w:bCs/>
          <w:szCs w:val="22"/>
          <w:lang w:val="fr-FR"/>
        </w:rPr>
        <w:t xml:space="preserve"> </w:t>
      </w:r>
      <w:r w:rsidRPr="00CD400A">
        <w:rPr>
          <w:rFonts w:ascii="Arial" w:hAnsi="Arial" w:cs="Arial"/>
          <w:bCs/>
          <w:szCs w:val="22"/>
          <w:lang w:val="fr-FR"/>
        </w:rPr>
        <w:t>(70</w:t>
      </w:r>
      <w:r w:rsidRPr="00CD400A">
        <w:rPr>
          <w:rFonts w:ascii="Arial" w:eastAsiaTheme="minorHAnsi" w:hAnsi="Arial" w:cs="Arial"/>
          <w:bCs/>
          <w:szCs w:val="22"/>
          <w:lang w:val="fr-FR"/>
        </w:rPr>
        <w:t xml:space="preserve"> points) ; et</w:t>
      </w:r>
    </w:p>
    <w:p w14:paraId="650682A7" w14:textId="2F3F52E6" w:rsidR="00803B35" w:rsidRPr="00CD400A" w:rsidRDefault="00FC1C6B" w:rsidP="00803B35">
      <w:pPr>
        <w:pStyle w:val="Paragraphedeliste"/>
        <w:numPr>
          <w:ilvl w:val="0"/>
          <w:numId w:val="7"/>
        </w:numPr>
        <w:jc w:val="both"/>
        <w:rPr>
          <w:rFonts w:ascii="Arial" w:eastAsiaTheme="minorHAnsi" w:hAnsi="Arial" w:cs="Arial"/>
          <w:bCs/>
          <w:szCs w:val="22"/>
          <w:lang w:val="fr-FR"/>
        </w:rPr>
      </w:pPr>
      <w:r w:rsidRPr="00CD400A">
        <w:rPr>
          <w:rFonts w:ascii="Arial" w:eastAsiaTheme="minorHAnsi" w:hAnsi="Arial" w:cs="Arial"/>
          <w:bCs/>
          <w:szCs w:val="22"/>
          <w:lang w:val="fr-FR"/>
        </w:rPr>
        <w:t>Capacité technique (10 points).</w:t>
      </w:r>
    </w:p>
    <w:p w14:paraId="057D1B6C" w14:textId="77777777" w:rsidR="00803B35" w:rsidRPr="00CD400A" w:rsidRDefault="00803B35" w:rsidP="00803B35">
      <w:pPr>
        <w:pStyle w:val="Paragraphedeliste"/>
        <w:ind w:left="1440"/>
        <w:jc w:val="both"/>
        <w:rPr>
          <w:rFonts w:ascii="Arial" w:eastAsiaTheme="minorHAnsi" w:hAnsi="Arial" w:cs="Arial"/>
          <w:bCs/>
          <w:szCs w:val="22"/>
          <w:lang w:val="fr-FR"/>
        </w:rPr>
      </w:pPr>
    </w:p>
    <w:p w14:paraId="3B00BDCA" w14:textId="77777777" w:rsidR="00F7399B" w:rsidRPr="00CD400A" w:rsidRDefault="00F7399B" w:rsidP="00F7399B">
      <w:pPr>
        <w:jc w:val="both"/>
        <w:rPr>
          <w:rFonts w:ascii="Arial" w:hAnsi="Arial" w:cs="Arial"/>
          <w:bCs/>
          <w:szCs w:val="22"/>
          <w:lang w:val="fr-FR"/>
        </w:rPr>
      </w:pPr>
      <w:r w:rsidRPr="00CD400A">
        <w:rPr>
          <w:rFonts w:ascii="Arial" w:hAnsi="Arial" w:cs="Arial"/>
          <w:bCs/>
          <w:szCs w:val="22"/>
          <w:lang w:val="fr-FR"/>
        </w:rPr>
        <w:t>Le personnel clé ne sera pas évalué lors de l'établissement de la liste restreinte.</w:t>
      </w:r>
    </w:p>
    <w:p w14:paraId="267DB86A" w14:textId="77777777" w:rsidR="00F7399B" w:rsidRPr="00CD400A" w:rsidRDefault="00F7399B" w:rsidP="00F7399B">
      <w:pPr>
        <w:autoSpaceDE w:val="0"/>
        <w:autoSpaceDN w:val="0"/>
        <w:adjustRightInd w:val="0"/>
        <w:ind w:left="118" w:right="-879"/>
        <w:jc w:val="both"/>
        <w:rPr>
          <w:rFonts w:ascii="Arial" w:hAnsi="Arial" w:cs="Arial"/>
          <w:kern w:val="1"/>
          <w:szCs w:val="22"/>
          <w:lang w:val="fr-FR"/>
        </w:rPr>
      </w:pPr>
    </w:p>
    <w:p w14:paraId="40187FAB" w14:textId="77777777" w:rsidR="00F7399B" w:rsidRPr="00CD400A" w:rsidRDefault="00F7399B" w:rsidP="00F7399B">
      <w:pPr>
        <w:shd w:val="clear" w:color="auto" w:fill="FFFFFF"/>
        <w:spacing w:after="150"/>
        <w:jc w:val="both"/>
        <w:rPr>
          <w:rFonts w:ascii="Arial" w:hAnsi="Arial" w:cs="Arial"/>
          <w:color w:val="333333"/>
          <w:szCs w:val="22"/>
          <w:lang w:val="fr-FR"/>
        </w:rPr>
      </w:pPr>
      <w:r w:rsidRPr="00CD400A">
        <w:rPr>
          <w:rFonts w:ascii="Arial" w:hAnsi="Arial" w:cs="Arial"/>
          <w:szCs w:val="22"/>
          <w:lang w:val="fr-FR"/>
        </w:rPr>
        <w:t xml:space="preserve">Il est porté à l’attention des Consultants que les dispositions des paragraphes </w:t>
      </w:r>
      <w:r w:rsidRPr="00CD400A">
        <w:rPr>
          <w:rFonts w:ascii="Arial" w:hAnsi="Arial" w:cs="Arial"/>
          <w:spacing w:val="-2"/>
          <w:szCs w:val="22"/>
          <w:lang w:val="fr-FR"/>
        </w:rPr>
        <w:t xml:space="preserve">3.14, 3.16, et 3.17 </w:t>
      </w:r>
      <w:r w:rsidRPr="00CD400A">
        <w:rPr>
          <w:rFonts w:ascii="Arial" w:hAnsi="Arial" w:cs="Arial"/>
          <w:szCs w:val="22"/>
          <w:lang w:val="fr-FR"/>
        </w:rPr>
        <w:t>1.9 de la Section III de : « BANQUE MONDIALE, Règlement de Passation des Marchés pour les Emprunteurs sollicitant le Financement de Projets d’Investissement (FPI)</w:t>
      </w:r>
      <w:r w:rsidRPr="00CD400A">
        <w:rPr>
          <w:rFonts w:ascii="Arial" w:hAnsi="Arial" w:cs="Arial"/>
          <w:i/>
          <w:szCs w:val="22"/>
          <w:lang w:val="fr-FR"/>
        </w:rPr>
        <w:t> </w:t>
      </w:r>
      <w:r w:rsidRPr="00CD400A">
        <w:rPr>
          <w:rFonts w:ascii="Arial" w:hAnsi="Arial" w:cs="Arial"/>
          <w:szCs w:val="22"/>
          <w:lang w:val="fr-FR"/>
        </w:rPr>
        <w:t xml:space="preserve">», (Edition Septembre 2025), relatifs aux règles de la Banque mondiale en matière de conflit d’intérêts sont applicables. </w:t>
      </w:r>
      <w:r w:rsidRPr="00CD400A">
        <w:rPr>
          <w:rFonts w:ascii="Arial" w:hAnsi="Arial" w:cs="Arial"/>
          <w:color w:val="333333"/>
          <w:szCs w:val="22"/>
          <w:lang w:val="fr-FR"/>
        </w:rPr>
        <w:t xml:space="preserve">Veuillez noter les dispositions additionnelles suivantes relatives au conflit </w:t>
      </w:r>
      <w:r w:rsidRPr="00CD400A">
        <w:rPr>
          <w:rFonts w:ascii="Arial" w:hAnsi="Arial" w:cs="Arial"/>
          <w:color w:val="333333"/>
          <w:szCs w:val="22"/>
          <w:lang w:val="fr-FR"/>
        </w:rPr>
        <w:lastRenderedPageBreak/>
        <w:t>d’intérêts dans le cadre des Services objet de la présente Sollicitation de manifestation d’intérêt :</w:t>
      </w:r>
    </w:p>
    <w:p w14:paraId="06E68FB4" w14:textId="77777777" w:rsidR="00F7399B" w:rsidRPr="00CD400A" w:rsidRDefault="00F7399B" w:rsidP="00F7399B">
      <w:pPr>
        <w:shd w:val="clear" w:color="auto" w:fill="FFFFFF"/>
        <w:spacing w:after="150"/>
        <w:jc w:val="both"/>
        <w:rPr>
          <w:rFonts w:ascii="Arial" w:hAnsi="Arial" w:cs="Arial"/>
          <w:color w:val="333333"/>
          <w:szCs w:val="22"/>
          <w:lang w:val="fr-FR"/>
        </w:rPr>
      </w:pPr>
      <w:r w:rsidRPr="00CD400A">
        <w:rPr>
          <w:rFonts w:ascii="Arial" w:hAnsi="Arial" w:cs="Arial"/>
          <w:color w:val="333333"/>
          <w:szCs w:val="22"/>
          <w:lang w:val="fr-FR"/>
        </w:rPr>
        <w:t>Les Consultants ne peuvent être engagés pour des missions qui</w:t>
      </w:r>
      <w:r w:rsidRPr="00CD400A">
        <w:rPr>
          <w:rFonts w:ascii="Arial" w:hAnsi="Arial" w:cs="Arial"/>
          <w:b/>
          <w:bCs/>
          <w:color w:val="333333"/>
          <w:szCs w:val="22"/>
          <w:lang w:val="fr-FR"/>
        </w:rPr>
        <w:t> seraient incompatibles </w:t>
      </w:r>
      <w:r w:rsidRPr="00CD400A">
        <w:rPr>
          <w:rFonts w:ascii="Arial" w:hAnsi="Arial" w:cs="Arial"/>
          <w:color w:val="333333"/>
          <w:szCs w:val="22"/>
          <w:lang w:val="fr-FR"/>
        </w:rPr>
        <w:t>avec leurs obligations présentes ou passées envers d’autres clients, ou qui risqueraient de les mettre dans l’impossibilité de remplir leur mandat au mieux des intérêts de l’Emprunteur. Sans préjudice du caractère général de ces dispositions, les Consultants ne peuvent être engagés dans les circonstances énoncées ci-après :</w:t>
      </w:r>
    </w:p>
    <w:p w14:paraId="562391EE" w14:textId="77777777" w:rsidR="00F7399B" w:rsidRPr="00CD400A" w:rsidRDefault="00F7399B" w:rsidP="00F7399B">
      <w:pPr>
        <w:keepNext/>
        <w:numPr>
          <w:ilvl w:val="0"/>
          <w:numId w:val="10"/>
        </w:numPr>
        <w:shd w:val="clear" w:color="auto" w:fill="FFFFFF"/>
        <w:spacing w:before="100" w:beforeAutospacing="1" w:after="100" w:afterAutospacing="1"/>
        <w:jc w:val="both"/>
        <w:rPr>
          <w:rFonts w:ascii="Arial" w:hAnsi="Arial" w:cs="Arial"/>
          <w:color w:val="333333"/>
          <w:szCs w:val="22"/>
          <w:lang w:val="fr-FR"/>
        </w:rPr>
      </w:pPr>
      <w:r w:rsidRPr="00CD400A">
        <w:rPr>
          <w:rFonts w:ascii="Arial" w:hAnsi="Arial" w:cs="Arial"/>
          <w:color w:val="333333"/>
          <w:szCs w:val="22"/>
          <w:lang w:val="fr-FR"/>
        </w:rPr>
        <w:t>Aucune entreprise engagée par l’Emprunteur pour livrer des Fournitures, réaliser des Travaux ou fournir des Services Autres que des Services des Consultants pour un projet (ni aucune entreprise affiliée qui la contrôle directement ou indirectement, qu’elle contrôle elle-même ou qui est placée sous un contrôle commun) n’est admise à fournir des Services de Consultants consécutifs ou directement liés à ces Fournitures, Travaux ou Services Autres que des Services de Consultants. Cette disposition ne s’applique pas aux diverses entreprises (Consultants, entrepreneurs ou fournisseurs) qui, collectivement, s’acquittent des obligations de l’adjudicataire d’un marché clés en main ou d’un marché de conception – construction ;</w:t>
      </w:r>
    </w:p>
    <w:p w14:paraId="2DA23160" w14:textId="77777777" w:rsidR="00F7399B" w:rsidRPr="00CD400A" w:rsidRDefault="00F7399B" w:rsidP="00F7399B">
      <w:pPr>
        <w:keepNext/>
        <w:numPr>
          <w:ilvl w:val="0"/>
          <w:numId w:val="10"/>
        </w:numPr>
        <w:shd w:val="clear" w:color="auto" w:fill="FFFFFF"/>
        <w:spacing w:before="100" w:beforeAutospacing="1" w:after="100" w:afterAutospacing="1"/>
        <w:jc w:val="both"/>
        <w:rPr>
          <w:rFonts w:ascii="Arial" w:hAnsi="Arial" w:cs="Arial"/>
          <w:color w:val="333333"/>
          <w:szCs w:val="22"/>
          <w:lang w:val="fr-FR"/>
        </w:rPr>
      </w:pPr>
      <w:r w:rsidRPr="00CD400A">
        <w:rPr>
          <w:rFonts w:ascii="Arial" w:hAnsi="Arial" w:cs="Arial"/>
          <w:color w:val="333333"/>
          <w:szCs w:val="22"/>
          <w:lang w:val="fr-FR"/>
        </w:rPr>
        <w:t>Aucune entreprise engagée par l’emprunteur pour fournir des Services de Consultants pour la préparation ou l’exécution d’un projet (ni aucune entreprise affiliée qui contrôle directement ou indirectement, qu’elle contrôle elle-même ou qui est placée sous un contrôle commun) n’est admise ultérieurement à livrer des Fournitures réaliser des Travaux ou fournit des Services Autres que des Services de Consultants consécutifs ou directement liés audits Services de Consultants. Cette disposition ne s’applique pas aux diverses entreprises (consultant, entrepreneurs ou fournisseurs) qui, collectivement, s’acquittent des obligations de l’adjudicataire d’un marché clés en main ou d’un marché de conception construction ;</w:t>
      </w:r>
    </w:p>
    <w:p w14:paraId="424D0884" w14:textId="77777777" w:rsidR="00F7399B" w:rsidRPr="00CD400A" w:rsidRDefault="00F7399B" w:rsidP="00F7399B">
      <w:pPr>
        <w:keepNext/>
        <w:numPr>
          <w:ilvl w:val="0"/>
          <w:numId w:val="10"/>
        </w:numPr>
        <w:shd w:val="clear" w:color="auto" w:fill="FFFFFF"/>
        <w:spacing w:before="100" w:beforeAutospacing="1" w:after="100" w:afterAutospacing="1"/>
        <w:jc w:val="both"/>
        <w:rPr>
          <w:rFonts w:ascii="Arial" w:hAnsi="Arial" w:cs="Arial"/>
          <w:color w:val="333333"/>
          <w:szCs w:val="22"/>
          <w:lang w:val="fr-FR"/>
        </w:rPr>
      </w:pPr>
      <w:r w:rsidRPr="00CD400A">
        <w:rPr>
          <w:rFonts w:ascii="Arial" w:hAnsi="Arial" w:cs="Arial"/>
          <w:color w:val="333333"/>
          <w:szCs w:val="22"/>
          <w:lang w:val="fr-FR"/>
        </w:rPr>
        <w:t>Aucun Consultant (y compris le personnel et les sous-consultants à son service) ni aucun prestataire affilié (qui le contrôle directement ou indirectement, qu’il contrôle lui-même ou qui est placé sous un contrôle commun) ne peut être engagé pour une mission qui par sa nature, crée un conflit d’intérêt avec une autre de ses missions ;</w:t>
      </w:r>
    </w:p>
    <w:p w14:paraId="204C8539" w14:textId="77777777" w:rsidR="00F7399B" w:rsidRPr="00CD400A" w:rsidRDefault="00F7399B" w:rsidP="00F7399B">
      <w:pPr>
        <w:keepNext/>
        <w:numPr>
          <w:ilvl w:val="0"/>
          <w:numId w:val="10"/>
        </w:numPr>
        <w:shd w:val="clear" w:color="auto" w:fill="FFFFFF"/>
        <w:spacing w:before="100" w:beforeAutospacing="1" w:after="100" w:afterAutospacing="1"/>
        <w:jc w:val="both"/>
        <w:rPr>
          <w:rFonts w:ascii="Arial" w:hAnsi="Arial" w:cs="Arial"/>
          <w:color w:val="333333"/>
          <w:szCs w:val="22"/>
          <w:lang w:val="fr-FR"/>
        </w:rPr>
      </w:pPr>
      <w:r w:rsidRPr="00CD400A">
        <w:rPr>
          <w:rFonts w:ascii="Arial" w:hAnsi="Arial" w:cs="Arial"/>
          <w:color w:val="333333"/>
          <w:szCs w:val="22"/>
          <w:lang w:val="fr-FR"/>
        </w:rPr>
        <w:t>Les Consultants (y compris les experts, le personnel et les sous-consultants à leur service) qui ont une relation professionnelle ou familiale étroite avec tout cadre de l’Emprunteur, de l’organisme d’exécution du projet, d’un bénéficiaire d’une fraction du financement de la ou de toute autre partie représentant l’Emprunteur ou agissant en son nom qui participe directement ou indirectement à tout segment :</w:t>
      </w:r>
    </w:p>
    <w:p w14:paraId="329FAA4F" w14:textId="77777777" w:rsidR="00F7399B" w:rsidRPr="00CD400A" w:rsidRDefault="00F7399B" w:rsidP="00F7399B">
      <w:pPr>
        <w:numPr>
          <w:ilvl w:val="0"/>
          <w:numId w:val="11"/>
        </w:numPr>
        <w:shd w:val="clear" w:color="auto" w:fill="FFFFFF"/>
        <w:spacing w:before="100" w:beforeAutospacing="1" w:after="100" w:afterAutospacing="1"/>
        <w:jc w:val="both"/>
        <w:rPr>
          <w:rFonts w:ascii="Arial" w:hAnsi="Arial" w:cs="Arial"/>
          <w:color w:val="333333"/>
          <w:szCs w:val="22"/>
          <w:lang w:val="fr-FR"/>
        </w:rPr>
      </w:pPr>
      <w:r w:rsidRPr="00CD400A">
        <w:rPr>
          <w:rFonts w:ascii="Arial" w:hAnsi="Arial" w:cs="Arial"/>
          <w:color w:val="333333"/>
          <w:szCs w:val="22"/>
          <w:lang w:val="fr-FR"/>
        </w:rPr>
        <w:t>De la préparation des Termes de référence de la mission</w:t>
      </w:r>
    </w:p>
    <w:p w14:paraId="325560EE" w14:textId="77777777" w:rsidR="00F7399B" w:rsidRPr="00CD400A" w:rsidRDefault="00F7399B" w:rsidP="00F7399B">
      <w:pPr>
        <w:numPr>
          <w:ilvl w:val="0"/>
          <w:numId w:val="11"/>
        </w:numPr>
        <w:shd w:val="clear" w:color="auto" w:fill="FFFFFF"/>
        <w:spacing w:before="100" w:beforeAutospacing="1" w:after="100" w:afterAutospacing="1"/>
        <w:jc w:val="both"/>
        <w:rPr>
          <w:rFonts w:ascii="Arial" w:hAnsi="Arial" w:cs="Arial"/>
          <w:color w:val="333333"/>
          <w:szCs w:val="22"/>
          <w:lang w:val="fr-FR"/>
        </w:rPr>
      </w:pPr>
      <w:r w:rsidRPr="00CD400A">
        <w:rPr>
          <w:rFonts w:ascii="Arial" w:hAnsi="Arial" w:cs="Arial"/>
          <w:color w:val="333333"/>
          <w:szCs w:val="22"/>
          <w:lang w:val="fr-FR"/>
        </w:rPr>
        <w:t xml:space="preserve">Du processus de sélection pour le contrat ; </w:t>
      </w:r>
      <w:proofErr w:type="gramStart"/>
      <w:r w:rsidRPr="00CD400A">
        <w:rPr>
          <w:rFonts w:ascii="Arial" w:hAnsi="Arial" w:cs="Arial"/>
          <w:color w:val="333333"/>
          <w:szCs w:val="22"/>
          <w:lang w:val="fr-FR"/>
        </w:rPr>
        <w:t>ou</w:t>
      </w:r>
      <w:proofErr w:type="gramEnd"/>
    </w:p>
    <w:p w14:paraId="10746833" w14:textId="77777777" w:rsidR="00F7399B" w:rsidRPr="00CD400A" w:rsidRDefault="00F7399B" w:rsidP="00F7399B">
      <w:pPr>
        <w:numPr>
          <w:ilvl w:val="0"/>
          <w:numId w:val="11"/>
        </w:numPr>
        <w:shd w:val="clear" w:color="auto" w:fill="FFFFFF"/>
        <w:ind w:left="714" w:hanging="357"/>
        <w:jc w:val="both"/>
        <w:rPr>
          <w:rFonts w:ascii="Arial" w:hAnsi="Arial" w:cs="Arial"/>
          <w:color w:val="333333"/>
          <w:szCs w:val="22"/>
          <w:lang w:val="fr-FR"/>
        </w:rPr>
      </w:pPr>
      <w:r w:rsidRPr="00CD400A">
        <w:rPr>
          <w:rFonts w:ascii="Arial" w:hAnsi="Arial" w:cs="Arial"/>
          <w:color w:val="333333"/>
          <w:szCs w:val="22"/>
          <w:lang w:val="fr-FR"/>
        </w:rPr>
        <w:t>De la supervision du contrat, ne peuvent être attributaires d’un contrat, saut si le conflit résultant de ladite relation a été réglé d’une manière que la Banque juge satisfaisante tout au long du processus de sélection et de l’exécution du contrat.</w:t>
      </w:r>
    </w:p>
    <w:p w14:paraId="5CCE28EB" w14:textId="77777777" w:rsidR="00F7399B" w:rsidRPr="00CD400A" w:rsidRDefault="00F7399B" w:rsidP="00F7399B">
      <w:pPr>
        <w:shd w:val="clear" w:color="auto" w:fill="FFFFFF"/>
        <w:tabs>
          <w:tab w:val="left" w:pos="720"/>
        </w:tabs>
        <w:ind w:left="714"/>
        <w:jc w:val="both"/>
        <w:rPr>
          <w:rFonts w:ascii="Arial" w:hAnsi="Arial" w:cs="Arial"/>
          <w:color w:val="333333"/>
          <w:szCs w:val="22"/>
          <w:lang w:val="fr-FR"/>
        </w:rPr>
      </w:pPr>
    </w:p>
    <w:p w14:paraId="6C04A8A5" w14:textId="77777777" w:rsidR="00F7399B" w:rsidRPr="00CD400A" w:rsidRDefault="00F7399B" w:rsidP="00F7399B">
      <w:pPr>
        <w:jc w:val="both"/>
        <w:rPr>
          <w:rFonts w:ascii="Arial" w:hAnsi="Arial" w:cs="Arial"/>
          <w:i/>
          <w:szCs w:val="22"/>
          <w:lang w:val="fr-FR"/>
        </w:rPr>
      </w:pPr>
      <w:r w:rsidRPr="00CD400A">
        <w:rPr>
          <w:rFonts w:ascii="Arial" w:hAnsi="Arial" w:cs="Arial"/>
          <w:szCs w:val="22"/>
          <w:lang w:val="fr-FR"/>
        </w:rPr>
        <w:t xml:space="preserve">Les Consultants peuvent s’associer avec d’autres firmes pour renforcer leurs compétences respectives en la forme d’un groupement ou d’un accord de sous-traitant. En cas de groupement, tous les membres de ce groupement restent conjointement et solidairement responsables de l’exécution de la mission au cas où le groupement sera sélectionné.  </w:t>
      </w:r>
    </w:p>
    <w:p w14:paraId="09C6A3A7" w14:textId="77777777" w:rsidR="00F7399B" w:rsidRPr="00CD400A" w:rsidRDefault="00F7399B" w:rsidP="00F7399B">
      <w:pPr>
        <w:rPr>
          <w:rFonts w:ascii="Arial" w:hAnsi="Arial" w:cs="Arial"/>
          <w:i/>
          <w:szCs w:val="22"/>
          <w:lang w:val="fr-FR"/>
        </w:rPr>
      </w:pPr>
    </w:p>
    <w:p w14:paraId="2480EBC0" w14:textId="77777777" w:rsidR="00F7399B" w:rsidRPr="00CD400A" w:rsidRDefault="00F7399B" w:rsidP="00F7399B">
      <w:pPr>
        <w:rPr>
          <w:rFonts w:ascii="Arial" w:hAnsi="Arial" w:cs="Arial"/>
          <w:szCs w:val="22"/>
          <w:lang w:val="fr-FR"/>
        </w:rPr>
      </w:pPr>
      <w:r w:rsidRPr="00CD400A">
        <w:rPr>
          <w:rFonts w:ascii="Arial" w:hAnsi="Arial" w:cs="Arial"/>
          <w:szCs w:val="22"/>
          <w:lang w:val="fr-FR"/>
        </w:rPr>
        <w:t>Un Consultant sera sélectionné selon la méthode « </w:t>
      </w:r>
      <w:r w:rsidRPr="00CD400A">
        <w:rPr>
          <w:rFonts w:ascii="Arial" w:hAnsi="Arial" w:cs="Arial"/>
          <w:b/>
          <w:bCs/>
          <w:i/>
          <w:iCs/>
          <w:szCs w:val="22"/>
          <w:lang w:val="fr-FR"/>
        </w:rPr>
        <w:t>Sélection Fondée sur la Qualité et le Coût (SFQC)</w:t>
      </w:r>
      <w:r w:rsidRPr="00CD400A">
        <w:rPr>
          <w:rFonts w:ascii="Arial" w:hAnsi="Arial" w:cs="Arial"/>
          <w:szCs w:val="22"/>
          <w:lang w:val="fr-FR"/>
        </w:rPr>
        <w:t xml:space="preserve"> » telle que décrite dans le Règlement. </w:t>
      </w:r>
    </w:p>
    <w:p w14:paraId="00E0F36E" w14:textId="77777777" w:rsidR="00F7399B" w:rsidRPr="00CD400A" w:rsidRDefault="00F7399B" w:rsidP="00F7399B">
      <w:pPr>
        <w:rPr>
          <w:rFonts w:ascii="Arial" w:hAnsi="Arial" w:cs="Arial"/>
          <w:szCs w:val="22"/>
          <w:lang w:val="fr-FR"/>
        </w:rPr>
      </w:pPr>
    </w:p>
    <w:p w14:paraId="50E76BCC" w14:textId="77777777" w:rsidR="00F7399B" w:rsidRPr="00CD400A" w:rsidRDefault="00F7399B" w:rsidP="00F7399B">
      <w:pPr>
        <w:rPr>
          <w:rFonts w:ascii="Arial" w:hAnsi="Arial" w:cs="Arial"/>
          <w:szCs w:val="22"/>
          <w:lang w:val="fr-FR"/>
        </w:rPr>
      </w:pPr>
      <w:r w:rsidRPr="00CD400A">
        <w:rPr>
          <w:rFonts w:ascii="Arial" w:hAnsi="Arial" w:cs="Arial"/>
          <w:szCs w:val="22"/>
          <w:lang w:val="fr-FR"/>
        </w:rPr>
        <w:t xml:space="preserve">Les Consultants intéressés peuvent obtenir des informations supplémentaires à l’adresse ci-dessous et aux heures suivantes : </w:t>
      </w:r>
      <w:r w:rsidRPr="00CD400A">
        <w:rPr>
          <w:rFonts w:ascii="Arial" w:hAnsi="Arial" w:cs="Arial"/>
          <w:szCs w:val="22"/>
        </w:rPr>
        <w:t xml:space="preserve">Lundi au </w:t>
      </w:r>
      <w:proofErr w:type="spellStart"/>
      <w:proofErr w:type="gramStart"/>
      <w:r w:rsidRPr="00CD400A">
        <w:rPr>
          <w:rFonts w:ascii="Arial" w:hAnsi="Arial" w:cs="Arial"/>
          <w:szCs w:val="22"/>
        </w:rPr>
        <w:t>Vendredi</w:t>
      </w:r>
      <w:proofErr w:type="spellEnd"/>
      <w:proofErr w:type="gramEnd"/>
      <w:r w:rsidRPr="00CD400A">
        <w:rPr>
          <w:rFonts w:ascii="Arial" w:hAnsi="Arial" w:cs="Arial"/>
          <w:szCs w:val="22"/>
        </w:rPr>
        <w:t xml:space="preserve"> de 08h30mn à 16h30mn (</w:t>
      </w:r>
      <w:proofErr w:type="spellStart"/>
      <w:r w:rsidRPr="00CD400A">
        <w:rPr>
          <w:rFonts w:ascii="Arial" w:hAnsi="Arial" w:cs="Arial"/>
          <w:szCs w:val="22"/>
        </w:rPr>
        <w:t>heure</w:t>
      </w:r>
      <w:proofErr w:type="spellEnd"/>
      <w:r w:rsidRPr="00CD400A">
        <w:rPr>
          <w:rFonts w:ascii="Arial" w:hAnsi="Arial" w:cs="Arial"/>
          <w:szCs w:val="22"/>
        </w:rPr>
        <w:t xml:space="preserve"> de Conakry/</w:t>
      </w:r>
      <w:proofErr w:type="spellStart"/>
      <w:r w:rsidRPr="00CD400A">
        <w:rPr>
          <w:rFonts w:ascii="Arial" w:hAnsi="Arial" w:cs="Arial"/>
          <w:szCs w:val="22"/>
        </w:rPr>
        <w:t>Guinée</w:t>
      </w:r>
      <w:proofErr w:type="spellEnd"/>
      <w:r w:rsidRPr="00CD400A">
        <w:rPr>
          <w:rFonts w:ascii="Arial" w:hAnsi="Arial" w:cs="Arial"/>
          <w:szCs w:val="22"/>
        </w:rPr>
        <w:t>).</w:t>
      </w:r>
    </w:p>
    <w:p w14:paraId="591F4AB9" w14:textId="77777777" w:rsidR="00F7399B" w:rsidRPr="00CD400A" w:rsidRDefault="00F7399B" w:rsidP="00F7399B">
      <w:pPr>
        <w:jc w:val="both"/>
        <w:rPr>
          <w:rFonts w:ascii="Arial" w:hAnsi="Arial" w:cs="Arial"/>
          <w:szCs w:val="22"/>
          <w:lang w:val="fr-FR"/>
        </w:rPr>
      </w:pPr>
    </w:p>
    <w:p w14:paraId="208289CE" w14:textId="6013795C" w:rsidR="00F7399B" w:rsidRPr="00CD400A" w:rsidRDefault="00F7399B" w:rsidP="00F7399B">
      <w:pPr>
        <w:jc w:val="both"/>
        <w:rPr>
          <w:rFonts w:ascii="Arial" w:hAnsi="Arial" w:cs="Arial"/>
          <w:szCs w:val="22"/>
          <w:lang w:val="fr-FR"/>
        </w:rPr>
      </w:pPr>
      <w:r w:rsidRPr="00CD400A">
        <w:rPr>
          <w:rFonts w:ascii="Arial" w:hAnsi="Arial" w:cs="Arial"/>
          <w:szCs w:val="22"/>
          <w:lang w:val="fr-FR"/>
        </w:rPr>
        <w:lastRenderedPageBreak/>
        <w:t xml:space="preserve">Les manifestations d’intérêt écrites en </w:t>
      </w:r>
      <w:r w:rsidRPr="00CD400A">
        <w:rPr>
          <w:rFonts w:ascii="Arial" w:hAnsi="Arial" w:cs="Arial"/>
          <w:b/>
          <w:bCs/>
          <w:szCs w:val="22"/>
          <w:lang w:val="fr-FR"/>
        </w:rPr>
        <w:t>langue française</w:t>
      </w:r>
      <w:r w:rsidRPr="00CD400A">
        <w:rPr>
          <w:rFonts w:ascii="Arial" w:hAnsi="Arial" w:cs="Arial"/>
          <w:szCs w:val="22"/>
          <w:lang w:val="fr-FR"/>
        </w:rPr>
        <w:t xml:space="preserve"> doivent être déposées à l’adresse ci-dessous en personne, par courrier ou par courrier électronique au plus tard le </w:t>
      </w:r>
      <w:r w:rsidR="00A5507F">
        <w:rPr>
          <w:rFonts w:ascii="Arial" w:hAnsi="Arial" w:cs="Arial"/>
          <w:szCs w:val="22"/>
          <w:lang w:val="fr-FR"/>
        </w:rPr>
        <w:t>3</w:t>
      </w:r>
      <w:r w:rsidR="00A7230E">
        <w:rPr>
          <w:rFonts w:ascii="Arial" w:hAnsi="Arial" w:cs="Arial"/>
          <w:szCs w:val="22"/>
          <w:lang w:val="fr-FR"/>
        </w:rPr>
        <w:t>0</w:t>
      </w:r>
      <w:r w:rsidRPr="00CD400A">
        <w:rPr>
          <w:rFonts w:ascii="Arial" w:hAnsi="Arial" w:cs="Arial"/>
          <w:szCs w:val="22"/>
          <w:lang w:val="fr-FR"/>
        </w:rPr>
        <w:t xml:space="preserve"> </w:t>
      </w:r>
      <w:proofErr w:type="gramStart"/>
      <w:r w:rsidRPr="00CD400A">
        <w:rPr>
          <w:rFonts w:ascii="Arial" w:hAnsi="Arial" w:cs="Arial"/>
          <w:szCs w:val="22"/>
          <w:lang w:val="fr-FR"/>
        </w:rPr>
        <w:t>Janvier</w:t>
      </w:r>
      <w:proofErr w:type="gramEnd"/>
      <w:r w:rsidRPr="00CD400A">
        <w:rPr>
          <w:rFonts w:ascii="Arial" w:hAnsi="Arial" w:cs="Arial"/>
          <w:szCs w:val="22"/>
          <w:lang w:val="fr-FR"/>
        </w:rPr>
        <w:t xml:space="preserve"> 2026 à 11 h-30 précises (heure de Conakry/Guinée), aux adresses ci-après :</w:t>
      </w:r>
    </w:p>
    <w:p w14:paraId="4AED5B35" w14:textId="77777777" w:rsidR="00F7399B" w:rsidRPr="00CD400A" w:rsidRDefault="00F7399B" w:rsidP="00F7399B">
      <w:pPr>
        <w:jc w:val="both"/>
        <w:rPr>
          <w:rFonts w:ascii="Arial" w:hAnsi="Arial" w:cs="Arial"/>
          <w:b/>
          <w:bCs/>
          <w:color w:val="222222"/>
          <w:szCs w:val="22"/>
          <w:lang w:val="fr-FR"/>
        </w:rPr>
      </w:pPr>
      <w:r w:rsidRPr="00CD400A">
        <w:rPr>
          <w:rFonts w:ascii="Arial" w:hAnsi="Arial" w:cs="Arial"/>
          <w:b/>
          <w:bCs/>
          <w:color w:val="222222"/>
          <w:szCs w:val="22"/>
          <w:lang w:val="fr-FR"/>
        </w:rPr>
        <w:t>A l’attention de : Monsieur le Coordonnateur du Projet</w:t>
      </w:r>
    </w:p>
    <w:p w14:paraId="0ED0E303" w14:textId="77777777" w:rsidR="00F7399B" w:rsidRPr="00CD400A" w:rsidRDefault="00F7399B" w:rsidP="00F7399B">
      <w:pPr>
        <w:jc w:val="both"/>
        <w:rPr>
          <w:rFonts w:ascii="Arial" w:hAnsi="Arial" w:cs="Arial"/>
          <w:b/>
          <w:bCs/>
          <w:color w:val="222222"/>
          <w:szCs w:val="22"/>
          <w:lang w:val="fr-FR"/>
        </w:rPr>
      </w:pPr>
      <w:r w:rsidRPr="00CD400A">
        <w:rPr>
          <w:rFonts w:ascii="Arial" w:hAnsi="Arial" w:cs="Arial"/>
          <w:b/>
          <w:bCs/>
          <w:color w:val="222222"/>
          <w:szCs w:val="22"/>
          <w:lang w:val="fr-FR"/>
        </w:rPr>
        <w:t xml:space="preserve">Unité de Gestion du Projet de Gestion des Ressources Naturelles, Minières et de l’Environnement (PGRNME), sise au quartier </w:t>
      </w:r>
      <w:proofErr w:type="spellStart"/>
      <w:r w:rsidRPr="00CD400A">
        <w:rPr>
          <w:rFonts w:ascii="Arial" w:hAnsi="Arial" w:cs="Arial"/>
          <w:b/>
          <w:bCs/>
          <w:color w:val="222222"/>
          <w:szCs w:val="22"/>
          <w:lang w:val="fr-FR"/>
        </w:rPr>
        <w:t>Taouyah</w:t>
      </w:r>
      <w:proofErr w:type="spellEnd"/>
      <w:r w:rsidRPr="00CD400A">
        <w:rPr>
          <w:rFonts w:ascii="Arial" w:hAnsi="Arial" w:cs="Arial"/>
          <w:b/>
          <w:bCs/>
          <w:color w:val="222222"/>
          <w:szCs w:val="22"/>
          <w:lang w:val="fr-FR"/>
        </w:rPr>
        <w:t>, Commune de Kaloum</w:t>
      </w:r>
    </w:p>
    <w:p w14:paraId="7EA1ACFF" w14:textId="7DECAF78" w:rsidR="00F7399B" w:rsidRPr="00CD400A" w:rsidRDefault="00F7399B" w:rsidP="00F7399B">
      <w:pPr>
        <w:jc w:val="both"/>
        <w:rPr>
          <w:rStyle w:val="Lienhypertexte"/>
          <w:rFonts w:ascii="Arial" w:eastAsiaTheme="majorEastAsia" w:hAnsi="Arial" w:cs="Arial"/>
          <w:b/>
          <w:bCs/>
          <w:szCs w:val="22"/>
          <w:lang w:val="fr-FR"/>
        </w:rPr>
      </w:pPr>
      <w:r w:rsidRPr="00CD400A">
        <w:rPr>
          <w:rFonts w:ascii="Arial" w:hAnsi="Arial" w:cs="Arial"/>
          <w:b/>
          <w:bCs/>
          <w:color w:val="222222"/>
          <w:szCs w:val="22"/>
          <w:lang w:val="fr-FR"/>
        </w:rPr>
        <w:t xml:space="preserve">Tél : 00224 622 20 02 24, </w:t>
      </w:r>
      <w:proofErr w:type="gramStart"/>
      <w:r w:rsidRPr="00CD400A">
        <w:rPr>
          <w:rFonts w:ascii="Arial" w:hAnsi="Arial" w:cs="Arial"/>
          <w:b/>
          <w:bCs/>
          <w:color w:val="222222"/>
          <w:szCs w:val="22"/>
          <w:lang w:val="fr-FR"/>
        </w:rPr>
        <w:t>E-mail</w:t>
      </w:r>
      <w:proofErr w:type="gramEnd"/>
      <w:r w:rsidRPr="00CD400A">
        <w:rPr>
          <w:rFonts w:ascii="Arial" w:hAnsi="Arial" w:cs="Arial"/>
          <w:b/>
          <w:bCs/>
          <w:color w:val="222222"/>
          <w:szCs w:val="22"/>
          <w:lang w:val="fr-FR"/>
        </w:rPr>
        <w:t> :</w:t>
      </w:r>
      <w:r w:rsidR="00CD400A">
        <w:rPr>
          <w:rFonts w:ascii="Arial" w:hAnsi="Arial" w:cs="Arial"/>
          <w:b/>
          <w:bCs/>
          <w:color w:val="222222"/>
          <w:szCs w:val="22"/>
          <w:lang w:val="fr-FR"/>
        </w:rPr>
        <w:t xml:space="preserve"> </w:t>
      </w:r>
      <w:hyperlink r:id="rId6" w:history="1">
        <w:r w:rsidR="00CD400A" w:rsidRPr="00DD3D56">
          <w:rPr>
            <w:rStyle w:val="Lienhypertexte"/>
            <w:rFonts w:ascii="Arial" w:hAnsi="Arial" w:cs="Arial"/>
            <w:b/>
            <w:bCs/>
            <w:szCs w:val="22"/>
            <w:lang w:val="fr-FR"/>
          </w:rPr>
          <w:t>woumarh@gmail.com</w:t>
        </w:r>
      </w:hyperlink>
      <w:r w:rsidR="00CD400A">
        <w:rPr>
          <w:rFonts w:ascii="Arial" w:hAnsi="Arial" w:cs="Arial"/>
          <w:b/>
          <w:bCs/>
          <w:color w:val="222222"/>
          <w:szCs w:val="22"/>
          <w:lang w:val="fr-FR"/>
        </w:rPr>
        <w:t xml:space="preserve"> </w:t>
      </w:r>
      <w:r w:rsidRPr="00CD400A">
        <w:rPr>
          <w:rFonts w:ascii="Arial" w:hAnsi="Arial" w:cs="Arial"/>
          <w:b/>
          <w:bCs/>
          <w:color w:val="222222"/>
          <w:szCs w:val="22"/>
        </w:rPr>
        <w:t xml:space="preserve">et avec </w:t>
      </w:r>
      <w:proofErr w:type="spellStart"/>
      <w:r w:rsidRPr="00CD400A">
        <w:rPr>
          <w:rFonts w:ascii="Arial" w:hAnsi="Arial" w:cs="Arial"/>
          <w:b/>
          <w:bCs/>
          <w:color w:val="222222"/>
          <w:szCs w:val="22"/>
        </w:rPr>
        <w:t>copie</w:t>
      </w:r>
      <w:proofErr w:type="spellEnd"/>
      <w:r w:rsidRPr="00CD400A">
        <w:rPr>
          <w:rFonts w:ascii="Arial" w:hAnsi="Arial" w:cs="Arial"/>
          <w:b/>
          <w:bCs/>
          <w:color w:val="222222"/>
          <w:szCs w:val="22"/>
        </w:rPr>
        <w:t xml:space="preserve"> </w:t>
      </w:r>
      <w:proofErr w:type="spellStart"/>
      <w:r w:rsidRPr="00CD400A">
        <w:rPr>
          <w:rFonts w:ascii="Arial" w:hAnsi="Arial" w:cs="Arial"/>
          <w:b/>
          <w:bCs/>
          <w:color w:val="222222"/>
          <w:szCs w:val="22"/>
        </w:rPr>
        <w:t>obligatoire</w:t>
      </w:r>
      <w:proofErr w:type="spellEnd"/>
      <w:r w:rsidRPr="00CD400A">
        <w:rPr>
          <w:rFonts w:ascii="Arial" w:hAnsi="Arial" w:cs="Arial"/>
          <w:b/>
          <w:bCs/>
          <w:color w:val="222222"/>
          <w:szCs w:val="22"/>
        </w:rPr>
        <w:t xml:space="preserve"> à </w:t>
      </w:r>
      <w:hyperlink r:id="rId7" w:history="1">
        <w:r w:rsidRPr="00CD400A">
          <w:rPr>
            <w:rStyle w:val="Lienhypertexte"/>
            <w:rFonts w:ascii="Arial" w:eastAsiaTheme="majorEastAsia" w:hAnsi="Arial" w:cs="Arial"/>
            <w:b/>
            <w:bCs/>
            <w:i/>
            <w:iCs/>
            <w:szCs w:val="22"/>
            <w:lang w:val="fr-FR"/>
          </w:rPr>
          <w:t>kouroumasmp90@gmail.com</w:t>
        </w:r>
      </w:hyperlink>
      <w:r w:rsidRPr="00CD400A">
        <w:rPr>
          <w:rFonts w:ascii="Arial" w:hAnsi="Arial" w:cs="Arial"/>
          <w:szCs w:val="22"/>
        </w:rPr>
        <w:t xml:space="preserve">, </w:t>
      </w:r>
      <w:hyperlink r:id="rId8" w:history="1">
        <w:r w:rsidRPr="00CD400A">
          <w:rPr>
            <w:rStyle w:val="Lienhypertexte"/>
            <w:rFonts w:ascii="Arial" w:hAnsi="Arial" w:cs="Arial"/>
            <w:b/>
            <w:bCs/>
            <w:i/>
            <w:iCs/>
            <w:szCs w:val="22"/>
            <w:lang w:val="fr-FR" w:eastAsia="fr-FR"/>
          </w:rPr>
          <w:t>apm.environs@gmail.com</w:t>
        </w:r>
      </w:hyperlink>
      <w:r w:rsidRPr="00CD400A">
        <w:rPr>
          <w:rFonts w:ascii="Arial" w:hAnsi="Arial" w:cs="Arial"/>
          <w:b/>
          <w:bCs/>
          <w:i/>
          <w:iCs/>
          <w:szCs w:val="22"/>
          <w:lang w:val="fr-FR" w:eastAsia="fr-FR"/>
        </w:rPr>
        <w:t xml:space="preserve"> et à </w:t>
      </w:r>
      <w:hyperlink r:id="rId9" w:history="1">
        <w:r w:rsidRPr="00CD400A">
          <w:rPr>
            <w:rFonts w:ascii="Arial" w:hAnsi="Arial" w:cs="Arial"/>
            <w:b/>
            <w:bCs/>
            <w:i/>
            <w:iCs/>
            <w:color w:val="0000FF"/>
            <w:szCs w:val="22"/>
            <w:u w:val="single"/>
            <w:lang w:val="fr-FR" w:eastAsia="fr-FR"/>
          </w:rPr>
          <w:t>lkaba1345@gmail.com</w:t>
        </w:r>
      </w:hyperlink>
    </w:p>
    <w:p w14:paraId="1B76BAB6" w14:textId="77777777" w:rsidR="00F7399B" w:rsidRPr="00CD400A" w:rsidRDefault="00F7399B" w:rsidP="00F7399B">
      <w:pPr>
        <w:jc w:val="both"/>
        <w:rPr>
          <w:rFonts w:ascii="Arial" w:hAnsi="Arial" w:cs="Arial"/>
          <w:szCs w:val="22"/>
          <w:lang w:val="fr-FR"/>
        </w:rPr>
      </w:pPr>
    </w:p>
    <w:p w14:paraId="70B89716" w14:textId="05114057" w:rsidR="00F7399B" w:rsidRPr="00CD400A" w:rsidRDefault="00F7399B" w:rsidP="00F7399B">
      <w:pPr>
        <w:suppressAutoHyphens/>
        <w:ind w:left="3600"/>
        <w:jc w:val="both"/>
        <w:rPr>
          <w:rFonts w:ascii="Arial" w:hAnsi="Arial" w:cs="Arial"/>
          <w:b/>
          <w:bCs/>
          <w:iCs/>
          <w:spacing w:val="-2"/>
          <w:szCs w:val="22"/>
          <w:lang w:val="fr-FR"/>
        </w:rPr>
      </w:pPr>
      <w:r w:rsidRPr="00CD400A">
        <w:rPr>
          <w:rFonts w:ascii="Arial" w:hAnsi="Arial" w:cs="Arial"/>
          <w:b/>
          <w:bCs/>
          <w:iCs/>
          <w:spacing w:val="-2"/>
          <w:szCs w:val="22"/>
          <w:lang w:val="fr-FR"/>
        </w:rPr>
        <w:t xml:space="preserve">Fait à Conakry, le </w:t>
      </w:r>
      <w:r w:rsidR="00CD400A">
        <w:rPr>
          <w:rFonts w:ascii="Arial" w:hAnsi="Arial" w:cs="Arial"/>
          <w:b/>
          <w:bCs/>
          <w:iCs/>
          <w:spacing w:val="-2"/>
          <w:szCs w:val="22"/>
          <w:lang w:val="fr-FR"/>
        </w:rPr>
        <w:t>08</w:t>
      </w:r>
      <w:r w:rsidRPr="00CD400A">
        <w:rPr>
          <w:rFonts w:ascii="Arial" w:hAnsi="Arial" w:cs="Arial"/>
          <w:b/>
          <w:bCs/>
          <w:iCs/>
          <w:spacing w:val="-2"/>
          <w:szCs w:val="22"/>
          <w:lang w:val="fr-FR"/>
        </w:rPr>
        <w:t xml:space="preserve"> </w:t>
      </w:r>
      <w:proofErr w:type="gramStart"/>
      <w:r w:rsidR="00CD400A">
        <w:rPr>
          <w:rFonts w:ascii="Arial" w:hAnsi="Arial" w:cs="Arial"/>
          <w:b/>
          <w:bCs/>
          <w:iCs/>
          <w:spacing w:val="-2"/>
          <w:szCs w:val="22"/>
          <w:lang w:val="fr-FR"/>
        </w:rPr>
        <w:t>Janvier</w:t>
      </w:r>
      <w:proofErr w:type="gramEnd"/>
      <w:r w:rsidRPr="00CD400A">
        <w:rPr>
          <w:rFonts w:ascii="Arial" w:hAnsi="Arial" w:cs="Arial"/>
          <w:b/>
          <w:bCs/>
          <w:iCs/>
          <w:spacing w:val="-2"/>
          <w:szCs w:val="22"/>
          <w:lang w:val="fr-FR"/>
        </w:rPr>
        <w:t xml:space="preserve"> 202</w:t>
      </w:r>
      <w:r w:rsidR="00CD400A">
        <w:rPr>
          <w:rFonts w:ascii="Arial" w:hAnsi="Arial" w:cs="Arial"/>
          <w:b/>
          <w:bCs/>
          <w:iCs/>
          <w:spacing w:val="-2"/>
          <w:szCs w:val="22"/>
          <w:lang w:val="fr-FR"/>
        </w:rPr>
        <w:t>6</w:t>
      </w:r>
    </w:p>
    <w:p w14:paraId="367B3560" w14:textId="77777777" w:rsidR="00CD400A" w:rsidRDefault="00F7399B" w:rsidP="00F7399B">
      <w:pPr>
        <w:suppressAutoHyphens/>
        <w:ind w:left="3600" w:firstLine="720"/>
        <w:jc w:val="both"/>
        <w:rPr>
          <w:rFonts w:ascii="Arial" w:hAnsi="Arial" w:cs="Arial"/>
          <w:b/>
          <w:bCs/>
          <w:iCs/>
          <w:spacing w:val="-2"/>
          <w:szCs w:val="22"/>
          <w:lang w:val="fr-FR"/>
        </w:rPr>
      </w:pPr>
      <w:r w:rsidRPr="00CD400A">
        <w:rPr>
          <w:rFonts w:ascii="Arial" w:hAnsi="Arial" w:cs="Arial"/>
          <w:b/>
          <w:bCs/>
          <w:iCs/>
          <w:spacing w:val="-2"/>
          <w:szCs w:val="22"/>
          <w:lang w:val="fr-FR"/>
        </w:rPr>
        <w:t xml:space="preserve">               </w:t>
      </w:r>
    </w:p>
    <w:p w14:paraId="462ECE86" w14:textId="77777777" w:rsidR="00CD400A" w:rsidRDefault="00CD400A" w:rsidP="00F7399B">
      <w:pPr>
        <w:suppressAutoHyphens/>
        <w:ind w:left="3600" w:firstLine="720"/>
        <w:jc w:val="both"/>
        <w:rPr>
          <w:rFonts w:ascii="Arial" w:hAnsi="Arial" w:cs="Arial"/>
          <w:b/>
          <w:bCs/>
          <w:iCs/>
          <w:spacing w:val="-2"/>
          <w:szCs w:val="22"/>
          <w:lang w:val="fr-FR"/>
        </w:rPr>
      </w:pPr>
    </w:p>
    <w:p w14:paraId="4CA8DB39" w14:textId="2FBB7972" w:rsidR="00F7399B" w:rsidRPr="00CD400A" w:rsidRDefault="00F7399B" w:rsidP="00F7399B">
      <w:pPr>
        <w:suppressAutoHyphens/>
        <w:ind w:left="3600" w:firstLine="720"/>
        <w:jc w:val="both"/>
        <w:rPr>
          <w:rFonts w:ascii="Arial" w:hAnsi="Arial" w:cs="Arial"/>
          <w:b/>
          <w:bCs/>
          <w:iCs/>
          <w:spacing w:val="-2"/>
          <w:szCs w:val="22"/>
          <w:lang w:val="fr-FR"/>
        </w:rPr>
      </w:pPr>
      <w:r w:rsidRPr="00CD400A">
        <w:rPr>
          <w:rFonts w:ascii="Arial" w:hAnsi="Arial" w:cs="Arial"/>
          <w:b/>
          <w:bCs/>
          <w:iCs/>
          <w:spacing w:val="-2"/>
          <w:szCs w:val="22"/>
          <w:lang w:val="fr-FR"/>
        </w:rPr>
        <w:t>Le Coordonnateur du Projet,</w:t>
      </w:r>
    </w:p>
    <w:p w14:paraId="476D1309" w14:textId="5ADB4639" w:rsidR="00F7399B" w:rsidRDefault="00F7399B" w:rsidP="00F7399B">
      <w:pPr>
        <w:jc w:val="both"/>
        <w:rPr>
          <w:rFonts w:ascii="Arial" w:hAnsi="Arial" w:cs="Arial"/>
          <w:b/>
          <w:bCs/>
          <w:iCs/>
          <w:spacing w:val="-2"/>
          <w:szCs w:val="22"/>
          <w:lang w:val="fr-FR"/>
        </w:rPr>
      </w:pPr>
      <w:r w:rsidRPr="00CD400A">
        <w:rPr>
          <w:rFonts w:ascii="Arial" w:hAnsi="Arial" w:cs="Arial"/>
          <w:b/>
          <w:bCs/>
          <w:iCs/>
          <w:spacing w:val="-2"/>
          <w:szCs w:val="22"/>
          <w:lang w:val="fr-FR"/>
        </w:rPr>
        <w:t xml:space="preserve">                                                                                                  </w:t>
      </w:r>
    </w:p>
    <w:p w14:paraId="16376140" w14:textId="77777777" w:rsidR="00CD400A" w:rsidRDefault="00CD400A" w:rsidP="00F7399B">
      <w:pPr>
        <w:jc w:val="both"/>
        <w:rPr>
          <w:rFonts w:ascii="Arial" w:hAnsi="Arial" w:cs="Arial"/>
          <w:b/>
          <w:bCs/>
          <w:iCs/>
          <w:spacing w:val="-2"/>
          <w:szCs w:val="22"/>
          <w:lang w:val="fr-FR"/>
        </w:rPr>
      </w:pPr>
    </w:p>
    <w:p w14:paraId="5A2E5B0B" w14:textId="77777777" w:rsidR="00CD400A" w:rsidRDefault="00CD400A" w:rsidP="00F7399B">
      <w:pPr>
        <w:jc w:val="both"/>
        <w:rPr>
          <w:rFonts w:ascii="Arial" w:hAnsi="Arial" w:cs="Arial"/>
          <w:b/>
          <w:bCs/>
          <w:iCs/>
          <w:spacing w:val="-2"/>
          <w:szCs w:val="22"/>
          <w:lang w:val="fr-FR"/>
        </w:rPr>
      </w:pPr>
    </w:p>
    <w:p w14:paraId="04832689" w14:textId="77777777" w:rsidR="00CD400A" w:rsidRDefault="00CD400A" w:rsidP="00F7399B">
      <w:pPr>
        <w:jc w:val="both"/>
        <w:rPr>
          <w:rFonts w:ascii="Arial" w:hAnsi="Arial" w:cs="Arial"/>
          <w:b/>
          <w:bCs/>
          <w:iCs/>
          <w:spacing w:val="-2"/>
          <w:szCs w:val="22"/>
          <w:lang w:val="fr-FR"/>
        </w:rPr>
      </w:pPr>
    </w:p>
    <w:p w14:paraId="1EB1F363" w14:textId="77777777" w:rsidR="00CD400A" w:rsidRDefault="00CD400A" w:rsidP="00F7399B">
      <w:pPr>
        <w:jc w:val="both"/>
        <w:rPr>
          <w:rFonts w:ascii="Arial" w:hAnsi="Arial" w:cs="Arial"/>
          <w:b/>
          <w:bCs/>
          <w:iCs/>
          <w:spacing w:val="-2"/>
          <w:szCs w:val="22"/>
          <w:lang w:val="fr-FR"/>
        </w:rPr>
      </w:pPr>
    </w:p>
    <w:p w14:paraId="52E68176" w14:textId="77777777" w:rsidR="00CD400A" w:rsidRDefault="00CD400A" w:rsidP="00F7399B">
      <w:pPr>
        <w:jc w:val="both"/>
        <w:rPr>
          <w:rFonts w:ascii="Arial" w:hAnsi="Arial" w:cs="Arial"/>
          <w:b/>
          <w:bCs/>
          <w:iCs/>
          <w:spacing w:val="-2"/>
          <w:szCs w:val="22"/>
          <w:lang w:val="fr-FR"/>
        </w:rPr>
      </w:pPr>
    </w:p>
    <w:p w14:paraId="02738DBD" w14:textId="74192A8A" w:rsidR="00CD400A" w:rsidRDefault="00CD400A" w:rsidP="00F7399B">
      <w:pPr>
        <w:jc w:val="both"/>
        <w:rPr>
          <w:rFonts w:ascii="Arial" w:hAnsi="Arial" w:cs="Arial"/>
          <w:b/>
          <w:bCs/>
          <w:iCs/>
          <w:spacing w:val="-2"/>
          <w:szCs w:val="22"/>
          <w:lang w:val="fr-FR"/>
        </w:rPr>
      </w:pPr>
      <w:r>
        <w:rPr>
          <w:rFonts w:ascii="Arial" w:hAnsi="Arial" w:cs="Arial"/>
          <w:b/>
          <w:bCs/>
          <w:iCs/>
          <w:spacing w:val="-2"/>
          <w:szCs w:val="22"/>
          <w:lang w:val="fr-FR"/>
        </w:rPr>
        <w:t xml:space="preserve">                                                                                     Oumar WANN</w:t>
      </w:r>
    </w:p>
    <w:p w14:paraId="7D8AC094" w14:textId="77777777" w:rsidR="00CD400A" w:rsidRDefault="00CD400A" w:rsidP="00F7399B">
      <w:pPr>
        <w:jc w:val="both"/>
        <w:rPr>
          <w:rFonts w:ascii="Arial" w:hAnsi="Arial" w:cs="Arial"/>
          <w:b/>
          <w:bCs/>
          <w:iCs/>
          <w:spacing w:val="-2"/>
          <w:szCs w:val="22"/>
          <w:lang w:val="fr-FR"/>
        </w:rPr>
      </w:pPr>
    </w:p>
    <w:p w14:paraId="6EBA52E5" w14:textId="77777777" w:rsidR="00CD400A" w:rsidRDefault="00CD400A" w:rsidP="00F7399B">
      <w:pPr>
        <w:jc w:val="both"/>
        <w:rPr>
          <w:rFonts w:ascii="Arial" w:hAnsi="Arial" w:cs="Arial"/>
          <w:b/>
          <w:bCs/>
          <w:iCs/>
          <w:spacing w:val="-2"/>
          <w:szCs w:val="22"/>
          <w:lang w:val="fr-FR"/>
        </w:rPr>
      </w:pPr>
    </w:p>
    <w:p w14:paraId="2E40A233" w14:textId="77777777" w:rsidR="00CD400A" w:rsidRDefault="00CD400A" w:rsidP="00F7399B">
      <w:pPr>
        <w:jc w:val="both"/>
        <w:rPr>
          <w:rFonts w:ascii="Arial" w:hAnsi="Arial" w:cs="Arial"/>
          <w:b/>
          <w:bCs/>
          <w:iCs/>
          <w:spacing w:val="-2"/>
          <w:szCs w:val="22"/>
          <w:lang w:val="fr-FR"/>
        </w:rPr>
      </w:pPr>
    </w:p>
    <w:p w14:paraId="199BAE71" w14:textId="4537CBC3" w:rsidR="00CD400A" w:rsidRPr="00CD400A" w:rsidRDefault="00CD400A" w:rsidP="00F7399B">
      <w:pPr>
        <w:jc w:val="both"/>
        <w:rPr>
          <w:rFonts w:ascii="Arial" w:hAnsi="Arial" w:cs="Arial"/>
          <w:szCs w:val="22"/>
          <w:lang w:val="fr-FR"/>
        </w:rPr>
      </w:pPr>
      <w:r>
        <w:rPr>
          <w:rFonts w:ascii="Arial" w:hAnsi="Arial" w:cs="Arial"/>
          <w:b/>
          <w:bCs/>
          <w:iCs/>
          <w:spacing w:val="-2"/>
          <w:szCs w:val="22"/>
          <w:lang w:val="fr-FR"/>
        </w:rPr>
        <w:t xml:space="preserve">               </w:t>
      </w:r>
    </w:p>
    <w:sectPr w:rsidR="00CD400A" w:rsidRPr="00CD40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G Times">
    <w:altName w:val="Times New Roman"/>
    <w:panose1 w:val="020B0604020202020204"/>
    <w:charset w:val="00"/>
    <w:family w:val="roman"/>
    <w:notTrueType/>
    <w:pitch w:val="variable"/>
    <w:sig w:usb0="00000003" w:usb1="00000000" w:usb2="00000000" w:usb3="00000000" w:csb0="00000001" w:csb1="00000000"/>
  </w:font>
  <w:font w:name="Aptos Display">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5C8"/>
    <w:multiLevelType w:val="hybridMultilevel"/>
    <w:tmpl w:val="FFA0546A"/>
    <w:lvl w:ilvl="0" w:tplc="106A0DD2">
      <w:start w:val="1"/>
      <w:numFmt w:val="bullet"/>
      <w:lvlText w:val="➢"/>
      <w:lvlJc w:val="left"/>
      <w:pPr>
        <w:ind w:left="1004"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 w15:restartNumberingAfterBreak="0">
    <w:nsid w:val="14890198"/>
    <w:multiLevelType w:val="hybridMultilevel"/>
    <w:tmpl w:val="9AEA8CE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8B79C1"/>
    <w:multiLevelType w:val="multilevel"/>
    <w:tmpl w:val="1A8B79C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2335666F"/>
    <w:multiLevelType w:val="multilevel"/>
    <w:tmpl w:val="2335666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25613A74"/>
    <w:multiLevelType w:val="hybridMultilevel"/>
    <w:tmpl w:val="55B68D1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41BD414D"/>
    <w:multiLevelType w:val="hybridMultilevel"/>
    <w:tmpl w:val="A9C20560"/>
    <w:lvl w:ilvl="0" w:tplc="106A0DD2">
      <w:start w:val="1"/>
      <w:numFmt w:val="bullet"/>
      <w:lvlText w:val="➢"/>
      <w:lvlJc w:val="left"/>
      <w:pPr>
        <w:ind w:left="1440"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47BD4E3E"/>
    <w:multiLevelType w:val="hybridMultilevel"/>
    <w:tmpl w:val="331ADD7C"/>
    <w:lvl w:ilvl="0" w:tplc="8C38E77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DE80AB9"/>
    <w:multiLevelType w:val="hybridMultilevel"/>
    <w:tmpl w:val="2FEE2D9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4FF10F91"/>
    <w:multiLevelType w:val="hybridMultilevel"/>
    <w:tmpl w:val="A580B78C"/>
    <w:lvl w:ilvl="0" w:tplc="A5CE795E">
      <w:start w:val="1"/>
      <w:numFmt w:val="decimal"/>
      <w:lvlText w:val="(%1)"/>
      <w:lvlJc w:val="left"/>
      <w:pPr>
        <w:ind w:left="1080" w:hanging="360"/>
      </w:pPr>
      <w:rPr>
        <w:rFonts w:eastAsia="Times New Roman"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15:restartNumberingAfterBreak="0">
    <w:nsid w:val="55992673"/>
    <w:multiLevelType w:val="hybridMultilevel"/>
    <w:tmpl w:val="9918DB1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A3A38CC"/>
    <w:multiLevelType w:val="hybridMultilevel"/>
    <w:tmpl w:val="2F182D60"/>
    <w:lvl w:ilvl="0" w:tplc="FFFFFFFF">
      <w:start w:val="1"/>
      <w:numFmt w:val="bullet"/>
      <w:lvlText w:val="-"/>
      <w:lvlJc w:val="left"/>
      <w:pPr>
        <w:ind w:left="1004" w:hanging="360"/>
      </w:p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1" w15:restartNumberingAfterBreak="0">
    <w:nsid w:val="62F10FFA"/>
    <w:multiLevelType w:val="hybridMultilevel"/>
    <w:tmpl w:val="757A5F50"/>
    <w:lvl w:ilvl="0" w:tplc="106A0DD2">
      <w:start w:val="1"/>
      <w:numFmt w:val="bullet"/>
      <w:lvlText w:val="➢"/>
      <w:lvlJc w:val="left"/>
      <w:pPr>
        <w:ind w:left="1004"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num w:numId="1" w16cid:durableId="833648924">
    <w:abstractNumId w:val="0"/>
  </w:num>
  <w:num w:numId="2" w16cid:durableId="1322078849">
    <w:abstractNumId w:val="11"/>
  </w:num>
  <w:num w:numId="3" w16cid:durableId="1793935753">
    <w:abstractNumId w:val="10"/>
  </w:num>
  <w:num w:numId="4" w16cid:durableId="2020887701">
    <w:abstractNumId w:val="6"/>
  </w:num>
  <w:num w:numId="5" w16cid:durableId="439229719">
    <w:abstractNumId w:val="5"/>
  </w:num>
  <w:num w:numId="6" w16cid:durableId="69082805">
    <w:abstractNumId w:val="7"/>
  </w:num>
  <w:num w:numId="7" w16cid:durableId="1037045257">
    <w:abstractNumId w:val="4"/>
  </w:num>
  <w:num w:numId="8" w16cid:durableId="833715817">
    <w:abstractNumId w:val="8"/>
  </w:num>
  <w:num w:numId="9" w16cid:durableId="993723211">
    <w:abstractNumId w:val="1"/>
  </w:num>
  <w:num w:numId="10" w16cid:durableId="1811941491">
    <w:abstractNumId w:val="3"/>
  </w:num>
  <w:num w:numId="11" w16cid:durableId="1766417924">
    <w:abstractNumId w:val="2"/>
  </w:num>
  <w:num w:numId="12" w16cid:durableId="17890785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6B"/>
    <w:rsid w:val="00077CD1"/>
    <w:rsid w:val="000A2793"/>
    <w:rsid w:val="0022105A"/>
    <w:rsid w:val="0050457E"/>
    <w:rsid w:val="00535B97"/>
    <w:rsid w:val="00621FEE"/>
    <w:rsid w:val="0070539B"/>
    <w:rsid w:val="00792005"/>
    <w:rsid w:val="00803B35"/>
    <w:rsid w:val="008459E6"/>
    <w:rsid w:val="00862028"/>
    <w:rsid w:val="008730A1"/>
    <w:rsid w:val="008828DB"/>
    <w:rsid w:val="008B6E14"/>
    <w:rsid w:val="0092692D"/>
    <w:rsid w:val="009868FA"/>
    <w:rsid w:val="00A45CAC"/>
    <w:rsid w:val="00A5507F"/>
    <w:rsid w:val="00A7230E"/>
    <w:rsid w:val="00A806E2"/>
    <w:rsid w:val="00A9743D"/>
    <w:rsid w:val="00BD0841"/>
    <w:rsid w:val="00CD400A"/>
    <w:rsid w:val="00CD7038"/>
    <w:rsid w:val="00D3691F"/>
    <w:rsid w:val="00E83D0E"/>
    <w:rsid w:val="00EB40F0"/>
    <w:rsid w:val="00EC3AC5"/>
    <w:rsid w:val="00EF7E4A"/>
    <w:rsid w:val="00F7399B"/>
    <w:rsid w:val="00F74151"/>
    <w:rsid w:val="00FC12AF"/>
    <w:rsid w:val="00FC1C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414BB"/>
  <w15:chartTrackingRefBased/>
  <w15:docId w15:val="{03A1EA8E-981A-844A-B489-96A47A869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C6B"/>
    <w:pPr>
      <w:spacing w:after="0" w:line="240" w:lineRule="auto"/>
    </w:pPr>
    <w:rPr>
      <w:rFonts w:ascii="CG Times" w:eastAsia="Times New Roman" w:hAnsi="CG Times" w:cs="Times New Roman"/>
      <w:kern w:val="0"/>
      <w:sz w:val="22"/>
      <w:szCs w:val="20"/>
      <w:lang w:val="en-US"/>
      <w14:ligatures w14:val="none"/>
    </w:rPr>
  </w:style>
  <w:style w:type="paragraph" w:styleId="Titre1">
    <w:name w:val="heading 1"/>
    <w:basedOn w:val="Normal"/>
    <w:next w:val="Normal"/>
    <w:link w:val="Titre1Car"/>
    <w:uiPriority w:val="9"/>
    <w:qFormat/>
    <w:rsid w:val="00FC1C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C1C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C1C6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C1C6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C1C6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C1C6B"/>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C1C6B"/>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C1C6B"/>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C1C6B"/>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C1C6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C1C6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C1C6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C1C6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C1C6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C1C6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C1C6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C1C6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C1C6B"/>
    <w:rPr>
      <w:rFonts w:eastAsiaTheme="majorEastAsia" w:cstheme="majorBidi"/>
      <w:color w:val="272727" w:themeColor="text1" w:themeTint="D8"/>
    </w:rPr>
  </w:style>
  <w:style w:type="paragraph" w:styleId="Titre">
    <w:name w:val="Title"/>
    <w:basedOn w:val="Normal"/>
    <w:next w:val="Normal"/>
    <w:link w:val="TitreCar"/>
    <w:uiPriority w:val="10"/>
    <w:qFormat/>
    <w:rsid w:val="00FC1C6B"/>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C1C6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C1C6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C1C6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C1C6B"/>
    <w:pPr>
      <w:spacing w:before="160"/>
      <w:jc w:val="center"/>
    </w:pPr>
    <w:rPr>
      <w:i/>
      <w:iCs/>
      <w:color w:val="404040" w:themeColor="text1" w:themeTint="BF"/>
    </w:rPr>
  </w:style>
  <w:style w:type="character" w:customStyle="1" w:styleId="CitationCar">
    <w:name w:val="Citation Car"/>
    <w:basedOn w:val="Policepardfaut"/>
    <w:link w:val="Citation"/>
    <w:uiPriority w:val="29"/>
    <w:rsid w:val="00FC1C6B"/>
    <w:rPr>
      <w:i/>
      <w:iCs/>
      <w:color w:val="404040" w:themeColor="text1" w:themeTint="BF"/>
    </w:rPr>
  </w:style>
  <w:style w:type="paragraph" w:styleId="Paragraphedeliste">
    <w:name w:val="List Paragraph"/>
    <w:aliases w:val="- List tir,liste 1,puce 1,Puces,I..1,Bo,I.,Yalgo corps,Checkmark,L3 - Normal,Titre 10,Numbered paragraph,Paragraphe de liste1,RM1,kepala,Citation List,Graphic,Table of contents numbered,List Paragraph (bulleted list),l,figure,Bullets"/>
    <w:basedOn w:val="Normal"/>
    <w:link w:val="ParagraphedelisteCar"/>
    <w:uiPriority w:val="34"/>
    <w:qFormat/>
    <w:rsid w:val="00FC1C6B"/>
    <w:pPr>
      <w:ind w:left="720"/>
      <w:contextualSpacing/>
    </w:pPr>
  </w:style>
  <w:style w:type="character" w:styleId="Accentuationintense">
    <w:name w:val="Intense Emphasis"/>
    <w:basedOn w:val="Policepardfaut"/>
    <w:uiPriority w:val="21"/>
    <w:qFormat/>
    <w:rsid w:val="00FC1C6B"/>
    <w:rPr>
      <w:i/>
      <w:iCs/>
      <w:color w:val="0F4761" w:themeColor="accent1" w:themeShade="BF"/>
    </w:rPr>
  </w:style>
  <w:style w:type="paragraph" w:styleId="Citationintense">
    <w:name w:val="Intense Quote"/>
    <w:basedOn w:val="Normal"/>
    <w:next w:val="Normal"/>
    <w:link w:val="CitationintenseCar"/>
    <w:uiPriority w:val="30"/>
    <w:qFormat/>
    <w:rsid w:val="00FC1C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C1C6B"/>
    <w:rPr>
      <w:i/>
      <w:iCs/>
      <w:color w:val="0F4761" w:themeColor="accent1" w:themeShade="BF"/>
    </w:rPr>
  </w:style>
  <w:style w:type="character" w:styleId="Rfrenceintense">
    <w:name w:val="Intense Reference"/>
    <w:basedOn w:val="Policepardfaut"/>
    <w:uiPriority w:val="32"/>
    <w:qFormat/>
    <w:rsid w:val="00FC1C6B"/>
    <w:rPr>
      <w:b/>
      <w:bCs/>
      <w:smallCaps/>
      <w:color w:val="0F4761" w:themeColor="accent1" w:themeShade="BF"/>
      <w:spacing w:val="5"/>
    </w:rPr>
  </w:style>
  <w:style w:type="character" w:styleId="Lienhypertexte">
    <w:name w:val="Hyperlink"/>
    <w:basedOn w:val="Policepardfaut"/>
    <w:qFormat/>
    <w:rsid w:val="00FC1C6B"/>
    <w:rPr>
      <w:color w:val="0000FF"/>
      <w:u w:val="single"/>
    </w:rPr>
  </w:style>
  <w:style w:type="character" w:customStyle="1" w:styleId="ParagraphedelisteCar">
    <w:name w:val="Paragraphe de liste Car"/>
    <w:aliases w:val="- List tir Car,liste 1 Car,puce 1 Car,Puces Car,I..1 Car,Bo Car,I. Car,Yalgo corps Car,Checkmark Car,L3 - Normal Car,Titre 10 Car,Numbered paragraph Car,Paragraphe de liste1 Car,RM1 Car,kepala Car,Citation List Car,Graphic Car"/>
    <w:link w:val="Paragraphedeliste"/>
    <w:uiPriority w:val="34"/>
    <w:qFormat/>
    <w:rsid w:val="00FC1C6B"/>
  </w:style>
  <w:style w:type="paragraph" w:styleId="Rvision">
    <w:name w:val="Revision"/>
    <w:hidden/>
    <w:uiPriority w:val="99"/>
    <w:semiHidden/>
    <w:rsid w:val="008459E6"/>
    <w:pPr>
      <w:spacing w:after="0" w:line="240" w:lineRule="auto"/>
    </w:pPr>
    <w:rPr>
      <w:rFonts w:ascii="CG Times" w:eastAsia="Times New Roman" w:hAnsi="CG Times" w:cs="Times New Roman"/>
      <w:kern w:val="0"/>
      <w:sz w:val="22"/>
      <w:szCs w:val="20"/>
      <w:lang w:val="en-US"/>
      <w14:ligatures w14:val="none"/>
    </w:rPr>
  </w:style>
  <w:style w:type="paragraph" w:customStyle="1" w:styleId="BankNormal">
    <w:name w:val="BankNormal"/>
    <w:link w:val="BankNormalChar"/>
    <w:qFormat/>
    <w:rsid w:val="00E83D0E"/>
    <w:pPr>
      <w:tabs>
        <w:tab w:val="left" w:pos="-720"/>
      </w:tabs>
      <w:suppressAutoHyphens/>
      <w:spacing w:after="0" w:line="240" w:lineRule="auto"/>
    </w:pPr>
    <w:rPr>
      <w:rFonts w:ascii="CG Times" w:eastAsia="Times New Roman" w:hAnsi="CG Times" w:cs="Times New Roman"/>
      <w:kern w:val="0"/>
      <w:sz w:val="22"/>
      <w:szCs w:val="20"/>
      <w:lang w:val="en-US"/>
      <w14:ligatures w14:val="none"/>
    </w:rPr>
  </w:style>
  <w:style w:type="character" w:customStyle="1" w:styleId="BankNormalChar">
    <w:name w:val="BankNormal Char"/>
    <w:basedOn w:val="Policepardfaut"/>
    <w:link w:val="BankNormal"/>
    <w:qFormat/>
    <w:rsid w:val="00E83D0E"/>
    <w:rPr>
      <w:rFonts w:ascii="CG Times" w:eastAsia="Times New Roman" w:hAnsi="CG Times" w:cs="Times New Roman"/>
      <w:kern w:val="0"/>
      <w:sz w:val="22"/>
      <w:szCs w:val="20"/>
      <w:lang w:val="en-US"/>
      <w14:ligatures w14:val="none"/>
    </w:rPr>
  </w:style>
  <w:style w:type="character" w:styleId="Mentionnonrsolue">
    <w:name w:val="Unresolved Mention"/>
    <w:basedOn w:val="Policepardfaut"/>
    <w:uiPriority w:val="99"/>
    <w:semiHidden/>
    <w:unhideWhenUsed/>
    <w:rsid w:val="00CD40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m.environs@gmail.com" TargetMode="External"/><Relationship Id="rId3" Type="http://schemas.openxmlformats.org/officeDocument/2006/relationships/settings" Target="settings.xml"/><Relationship Id="rId7" Type="http://schemas.openxmlformats.org/officeDocument/2006/relationships/hyperlink" Target="mailto:kouroumasmp90@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oumarh@gmail.co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kaba1345@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1505</Words>
  <Characters>8280</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MORIBA KOUROUMA</dc:creator>
  <cp:keywords/>
  <dc:description/>
  <cp:lastModifiedBy>MORIBA KOUROUMA</cp:lastModifiedBy>
  <cp:revision>3</cp:revision>
  <cp:lastPrinted>2026-01-09T15:05:00Z</cp:lastPrinted>
  <dcterms:created xsi:type="dcterms:W3CDTF">2026-01-09T15:05:00Z</dcterms:created>
  <dcterms:modified xsi:type="dcterms:W3CDTF">2026-01-09T15:06:00Z</dcterms:modified>
</cp:coreProperties>
</file>